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2F4BB" w14:textId="77777777" w:rsidR="009B57A6" w:rsidRDefault="009B57A6" w:rsidP="009B57A6">
      <w:pPr>
        <w:ind w:left="360"/>
        <w:jc w:val="right"/>
        <w:rPr>
          <w:color w:val="000000"/>
          <w:u w:val="single"/>
        </w:rPr>
      </w:pPr>
      <w:r w:rsidRPr="00E92200">
        <w:rPr>
          <w:color w:val="000000"/>
          <w:u w:val="single"/>
        </w:rPr>
        <w:t>Committee on Civil and Human Rights</w:t>
      </w:r>
    </w:p>
    <w:p w14:paraId="50A36AD2" w14:textId="77777777" w:rsidR="009B57A6" w:rsidRPr="00E92200" w:rsidRDefault="009B57A6" w:rsidP="009B57A6">
      <w:pPr>
        <w:ind w:left="360"/>
        <w:jc w:val="right"/>
        <w:rPr>
          <w:color w:val="000000"/>
        </w:rPr>
      </w:pPr>
      <w:r>
        <w:rPr>
          <w:color w:val="000000"/>
        </w:rPr>
        <w:t xml:space="preserve">Jessica Boulet, </w:t>
      </w:r>
      <w:r>
        <w:rPr>
          <w:i/>
          <w:iCs/>
          <w:color w:val="000000"/>
        </w:rPr>
        <w:t>Legislative Counsel</w:t>
      </w:r>
      <w:r w:rsidRPr="00E92200">
        <w:rPr>
          <w:color w:val="000000"/>
          <w:u w:val="single"/>
        </w:rPr>
        <w:t xml:space="preserve"> </w:t>
      </w:r>
    </w:p>
    <w:p w14:paraId="2845DFAB" w14:textId="77777777" w:rsidR="009B57A6" w:rsidRPr="00E92200" w:rsidRDefault="009B57A6" w:rsidP="009B57A6">
      <w:pPr>
        <w:ind w:left="360"/>
        <w:jc w:val="right"/>
        <w:rPr>
          <w:color w:val="000000"/>
        </w:rPr>
      </w:pPr>
      <w:r w:rsidRPr="00E92200">
        <w:rPr>
          <w:color w:val="000000"/>
        </w:rPr>
        <w:t xml:space="preserve">Wiam Diouri, </w:t>
      </w:r>
      <w:r w:rsidRPr="00E92200">
        <w:rPr>
          <w:i/>
          <w:color w:val="000000"/>
        </w:rPr>
        <w:t>Senior Legislative Policy Analyst</w:t>
      </w:r>
      <w:r w:rsidRPr="00E92200">
        <w:rPr>
          <w:color w:val="000000"/>
        </w:rPr>
        <w:t xml:space="preserve"> </w:t>
      </w:r>
    </w:p>
    <w:p w14:paraId="1BA273BF" w14:textId="77777777" w:rsidR="009B57A6" w:rsidRPr="00E92200" w:rsidRDefault="009B57A6" w:rsidP="009B57A6">
      <w:pPr>
        <w:ind w:left="360"/>
        <w:jc w:val="right"/>
        <w:rPr>
          <w:i/>
          <w:color w:val="000000"/>
        </w:rPr>
      </w:pPr>
      <w:r>
        <w:rPr>
          <w:color w:val="000000"/>
        </w:rPr>
        <w:t xml:space="preserve">Allie Stofer, </w:t>
      </w:r>
      <w:r>
        <w:rPr>
          <w:i/>
          <w:color w:val="000000"/>
        </w:rPr>
        <w:t>F</w:t>
      </w:r>
      <w:r w:rsidRPr="00E92200">
        <w:rPr>
          <w:i/>
          <w:color w:val="000000"/>
        </w:rPr>
        <w:t>inance Analyst</w:t>
      </w:r>
    </w:p>
    <w:p w14:paraId="423F2AF2" w14:textId="77777777" w:rsidR="009B57A6" w:rsidRPr="00E92200" w:rsidRDefault="009B57A6" w:rsidP="009B57A6">
      <w:pPr>
        <w:ind w:left="360"/>
        <w:jc w:val="right"/>
        <w:rPr>
          <w:color w:val="000000"/>
        </w:rPr>
      </w:pPr>
    </w:p>
    <w:p w14:paraId="0C5F6779" w14:textId="77777777" w:rsidR="009B57A6" w:rsidRDefault="009B57A6" w:rsidP="009B57A6">
      <w:pPr>
        <w:ind w:left="360"/>
        <w:jc w:val="right"/>
        <w:rPr>
          <w:iCs/>
          <w:u w:val="single"/>
        </w:rPr>
      </w:pPr>
    </w:p>
    <w:p w14:paraId="43115377" w14:textId="77777777" w:rsidR="009B57A6" w:rsidRPr="00E92200" w:rsidRDefault="009B57A6" w:rsidP="009B57A6">
      <w:pPr>
        <w:ind w:left="360"/>
        <w:jc w:val="right"/>
        <w:rPr>
          <w:i/>
          <w:color w:val="000000"/>
        </w:rPr>
      </w:pPr>
    </w:p>
    <w:p w14:paraId="0ABBD327" w14:textId="77777777" w:rsidR="009B57A6" w:rsidRPr="00E92200" w:rsidRDefault="009B57A6" w:rsidP="009B57A6">
      <w:pPr>
        <w:ind w:left="360"/>
        <w:jc w:val="right"/>
        <w:rPr>
          <w:color w:val="000000"/>
        </w:rPr>
      </w:pPr>
    </w:p>
    <w:p w14:paraId="62A02741" w14:textId="77777777" w:rsidR="009B57A6" w:rsidRPr="00E92200" w:rsidRDefault="009B57A6" w:rsidP="009B57A6">
      <w:pPr>
        <w:ind w:left="360"/>
        <w:jc w:val="right"/>
        <w:rPr>
          <w:color w:val="000000"/>
        </w:rPr>
      </w:pPr>
    </w:p>
    <w:p w14:paraId="350EC946" w14:textId="77777777" w:rsidR="009B57A6" w:rsidRPr="00E92200" w:rsidRDefault="009B57A6" w:rsidP="009B57A6">
      <w:pPr>
        <w:ind w:left="360"/>
        <w:jc w:val="right"/>
        <w:rPr>
          <w:color w:val="000000"/>
        </w:rPr>
      </w:pPr>
      <w:r w:rsidRPr="00B53F9A">
        <w:rPr>
          <w:noProof/>
        </w:rPr>
        <w:drawing>
          <wp:anchor distT="0" distB="0" distL="114300" distR="114300" simplePos="0" relativeHeight="251659264" behindDoc="0" locked="0" layoutInCell="1" allowOverlap="1" wp14:anchorId="6FEBC8F9" wp14:editId="4389E76D">
            <wp:simplePos x="0" y="0"/>
            <wp:positionH relativeFrom="column">
              <wp:posOffset>2473325</wp:posOffset>
            </wp:positionH>
            <wp:positionV relativeFrom="paragraph">
              <wp:posOffset>168910</wp:posOffset>
            </wp:positionV>
            <wp:extent cx="1092835" cy="1178560"/>
            <wp:effectExtent l="0" t="0" r="0" b="2540"/>
            <wp:wrapThrough wrapText="bothSides">
              <wp:wrapPolygon edited="0">
                <wp:start x="7154" y="0"/>
                <wp:lineTo x="4518" y="1047"/>
                <wp:lineTo x="377" y="4539"/>
                <wp:lineTo x="0" y="8030"/>
                <wp:lineTo x="0" y="13966"/>
                <wp:lineTo x="753" y="17457"/>
                <wp:lineTo x="6401" y="21297"/>
                <wp:lineTo x="7154" y="21297"/>
                <wp:lineTo x="13931" y="21297"/>
                <wp:lineTo x="15061" y="21297"/>
                <wp:lineTo x="20332" y="17457"/>
                <wp:lineTo x="21085" y="14664"/>
                <wp:lineTo x="21085" y="4888"/>
                <wp:lineTo x="16191" y="698"/>
                <wp:lineTo x="14308" y="0"/>
                <wp:lineTo x="7154"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92835" cy="1178560"/>
                    </a:xfrm>
                    <a:prstGeom prst="rect">
                      <a:avLst/>
                    </a:prstGeom>
                  </pic:spPr>
                </pic:pic>
              </a:graphicData>
            </a:graphic>
            <wp14:sizeRelH relativeFrom="margin">
              <wp14:pctWidth>0</wp14:pctWidth>
            </wp14:sizeRelH>
            <wp14:sizeRelV relativeFrom="margin">
              <wp14:pctHeight>0</wp14:pctHeight>
            </wp14:sizeRelV>
          </wp:anchor>
        </w:drawing>
      </w:r>
    </w:p>
    <w:p w14:paraId="134C420C" w14:textId="77777777" w:rsidR="009B57A6" w:rsidRPr="00E92200" w:rsidRDefault="009B57A6" w:rsidP="009B57A6">
      <w:pPr>
        <w:spacing w:line="480" w:lineRule="auto"/>
        <w:ind w:left="360"/>
        <w:jc w:val="center"/>
        <w:rPr>
          <w:b/>
          <w:bCs/>
          <w:color w:val="000000"/>
        </w:rPr>
      </w:pPr>
    </w:p>
    <w:p w14:paraId="6F8E8200" w14:textId="77777777" w:rsidR="009B57A6" w:rsidRPr="00E92200" w:rsidRDefault="009B57A6" w:rsidP="009B57A6">
      <w:pPr>
        <w:spacing w:line="480" w:lineRule="auto"/>
        <w:ind w:left="360"/>
        <w:rPr>
          <w:b/>
          <w:bCs/>
          <w:color w:val="000000"/>
        </w:rPr>
      </w:pPr>
    </w:p>
    <w:p w14:paraId="491E2A51" w14:textId="77777777" w:rsidR="009B57A6" w:rsidRPr="00E92200" w:rsidRDefault="009B57A6" w:rsidP="009B57A6">
      <w:pPr>
        <w:spacing w:line="480" w:lineRule="auto"/>
        <w:ind w:left="360"/>
        <w:jc w:val="both"/>
        <w:rPr>
          <w:b/>
          <w:bCs/>
          <w:color w:val="000000"/>
        </w:rPr>
      </w:pPr>
      <w:r w:rsidRPr="00E92200">
        <w:rPr>
          <w:b/>
          <w:bCs/>
          <w:color w:val="000000"/>
        </w:rPr>
        <w:t xml:space="preserve"> </w:t>
      </w:r>
    </w:p>
    <w:p w14:paraId="254A4A0E" w14:textId="77777777" w:rsidR="009B57A6" w:rsidRPr="00E92200" w:rsidRDefault="009B57A6" w:rsidP="009B57A6">
      <w:pPr>
        <w:spacing w:line="360" w:lineRule="auto"/>
        <w:ind w:left="360"/>
        <w:jc w:val="center"/>
        <w:rPr>
          <w:b/>
          <w:bCs/>
          <w:color w:val="000000"/>
        </w:rPr>
      </w:pPr>
    </w:p>
    <w:p w14:paraId="2E07D2C1" w14:textId="77777777" w:rsidR="009B57A6" w:rsidRPr="00E92200" w:rsidRDefault="009B57A6" w:rsidP="009B57A6">
      <w:pPr>
        <w:spacing w:line="480" w:lineRule="auto"/>
        <w:ind w:left="360"/>
        <w:jc w:val="center"/>
        <w:rPr>
          <w:color w:val="000000"/>
        </w:rPr>
      </w:pPr>
      <w:r w:rsidRPr="00E92200">
        <w:rPr>
          <w:b/>
          <w:bCs/>
          <w:color w:val="000000"/>
        </w:rPr>
        <w:t>THE COUNCIL OF THE CITY OF NEW YORK</w:t>
      </w:r>
    </w:p>
    <w:p w14:paraId="7D2CFD84" w14:textId="77777777" w:rsidR="009B57A6" w:rsidRPr="00E92200" w:rsidRDefault="009B57A6" w:rsidP="009B57A6">
      <w:pPr>
        <w:ind w:left="360"/>
        <w:jc w:val="center"/>
        <w:rPr>
          <w:b/>
          <w:bCs/>
          <w:color w:val="000000"/>
          <w:u w:val="single"/>
        </w:rPr>
      </w:pPr>
      <w:r>
        <w:rPr>
          <w:b/>
          <w:bCs/>
          <w:color w:val="000000"/>
          <w:u w:val="single"/>
        </w:rPr>
        <w:t>BRIEFING PAPER</w:t>
      </w:r>
      <w:r w:rsidRPr="00E92200">
        <w:rPr>
          <w:b/>
          <w:bCs/>
          <w:color w:val="000000"/>
          <w:u w:val="single"/>
        </w:rPr>
        <w:t xml:space="preserve"> </w:t>
      </w:r>
    </w:p>
    <w:p w14:paraId="4206B520" w14:textId="77777777" w:rsidR="009B57A6" w:rsidRPr="00E92200" w:rsidRDefault="009B57A6" w:rsidP="009B57A6">
      <w:pPr>
        <w:ind w:left="360"/>
        <w:jc w:val="center"/>
        <w:rPr>
          <w:b/>
          <w:bCs/>
          <w:color w:val="000000"/>
          <w:u w:val="single"/>
        </w:rPr>
      </w:pPr>
      <w:r w:rsidRPr="00E92200">
        <w:rPr>
          <w:b/>
          <w:bCs/>
          <w:color w:val="000000"/>
          <w:u w:val="single"/>
        </w:rPr>
        <w:t xml:space="preserve">OF THE GOVERNMENTAL AFFAIRS </w:t>
      </w:r>
      <w:r>
        <w:rPr>
          <w:b/>
          <w:bCs/>
          <w:color w:val="000000"/>
          <w:u w:val="single"/>
        </w:rPr>
        <w:t>DIVISION</w:t>
      </w:r>
    </w:p>
    <w:p w14:paraId="165F765A" w14:textId="77777777" w:rsidR="009B57A6" w:rsidRPr="00E92200" w:rsidRDefault="009B57A6" w:rsidP="009B57A6">
      <w:pPr>
        <w:ind w:left="360"/>
        <w:jc w:val="center"/>
        <w:rPr>
          <w:i/>
          <w:color w:val="000000"/>
        </w:rPr>
      </w:pPr>
      <w:r w:rsidRPr="00E92200">
        <w:rPr>
          <w:bCs/>
          <w:i/>
          <w:color w:val="000000"/>
        </w:rPr>
        <w:t>Andrea Vazquez, Legislative Director</w:t>
      </w:r>
    </w:p>
    <w:p w14:paraId="674C197C" w14:textId="77777777" w:rsidR="009B57A6" w:rsidRPr="00E92200" w:rsidRDefault="009B57A6" w:rsidP="009B57A6">
      <w:pPr>
        <w:ind w:left="360"/>
        <w:jc w:val="center"/>
        <w:rPr>
          <w:bCs/>
          <w:i/>
          <w:color w:val="000000"/>
        </w:rPr>
      </w:pPr>
      <w:r w:rsidRPr="00E92200">
        <w:rPr>
          <w:bCs/>
          <w:i/>
          <w:color w:val="000000"/>
        </w:rPr>
        <w:t>Rachel Cordero, Deputy Director, Governmental Affairs</w:t>
      </w:r>
    </w:p>
    <w:p w14:paraId="6D7A8C20" w14:textId="77777777" w:rsidR="009B57A6" w:rsidRPr="00E92200" w:rsidRDefault="009B57A6" w:rsidP="009B57A6">
      <w:pPr>
        <w:ind w:left="360"/>
        <w:rPr>
          <w:b/>
          <w:bCs/>
          <w:color w:val="000000"/>
        </w:rPr>
      </w:pPr>
    </w:p>
    <w:p w14:paraId="115E9EEA" w14:textId="77777777" w:rsidR="009B57A6" w:rsidRPr="00E92200" w:rsidRDefault="009B57A6" w:rsidP="009B57A6">
      <w:pPr>
        <w:spacing w:line="360" w:lineRule="auto"/>
        <w:ind w:left="360"/>
        <w:jc w:val="center"/>
        <w:rPr>
          <w:color w:val="000000"/>
        </w:rPr>
      </w:pPr>
      <w:r w:rsidRPr="00E92200">
        <w:rPr>
          <w:b/>
          <w:bCs/>
          <w:color w:val="000000"/>
          <w:u w:val="single"/>
        </w:rPr>
        <w:t>COMMITTEE ON CIVIL AND HUMAN RIGHTS</w:t>
      </w:r>
    </w:p>
    <w:p w14:paraId="76033113" w14:textId="77777777" w:rsidR="009B57A6" w:rsidRPr="00E92200" w:rsidRDefault="009B57A6" w:rsidP="009B57A6">
      <w:pPr>
        <w:ind w:left="360"/>
        <w:jc w:val="center"/>
        <w:rPr>
          <w:bCs/>
          <w:i/>
          <w:color w:val="000000"/>
        </w:rPr>
      </w:pPr>
      <w:r w:rsidRPr="00E92200">
        <w:rPr>
          <w:bCs/>
          <w:i/>
          <w:color w:val="000000"/>
        </w:rPr>
        <w:t>Hon.</w:t>
      </w:r>
      <w:r>
        <w:rPr>
          <w:bCs/>
          <w:i/>
          <w:color w:val="000000"/>
        </w:rPr>
        <w:t xml:space="preserve"> Sandy Nurse</w:t>
      </w:r>
    </w:p>
    <w:p w14:paraId="737E9D56" w14:textId="77777777" w:rsidR="009B57A6" w:rsidRPr="00E92200" w:rsidRDefault="009B57A6" w:rsidP="009B57A6">
      <w:pPr>
        <w:ind w:left="360"/>
        <w:jc w:val="center"/>
        <w:rPr>
          <w:b/>
          <w:bCs/>
          <w:color w:val="000000"/>
        </w:rPr>
      </w:pPr>
    </w:p>
    <w:p w14:paraId="5B66DAC3" w14:textId="77777777" w:rsidR="009B57A6" w:rsidRPr="00E92200" w:rsidRDefault="009B57A6" w:rsidP="009B57A6">
      <w:pPr>
        <w:ind w:left="360"/>
        <w:jc w:val="center"/>
        <w:rPr>
          <w:bCs/>
          <w:color w:val="000000"/>
        </w:rPr>
      </w:pPr>
      <w:r>
        <w:rPr>
          <w:bCs/>
          <w:color w:val="000000"/>
        </w:rPr>
        <w:t>February 26, 2026</w:t>
      </w:r>
    </w:p>
    <w:p w14:paraId="13E341AF" w14:textId="77777777" w:rsidR="009B57A6" w:rsidRPr="00E92200" w:rsidRDefault="009B57A6" w:rsidP="009B57A6">
      <w:pPr>
        <w:ind w:left="360"/>
        <w:jc w:val="center"/>
        <w:rPr>
          <w:b/>
          <w:bCs/>
          <w:color w:val="000000"/>
        </w:rPr>
      </w:pPr>
    </w:p>
    <w:p w14:paraId="105B9E0F" w14:textId="77777777" w:rsidR="009B57A6" w:rsidRPr="00E92200" w:rsidRDefault="009B57A6" w:rsidP="009B57A6">
      <w:pPr>
        <w:widowControl w:val="0"/>
        <w:tabs>
          <w:tab w:val="left" w:pos="-720"/>
        </w:tabs>
        <w:suppressAutoHyphens/>
        <w:ind w:left="360"/>
        <w:jc w:val="both"/>
        <w:rPr>
          <w:b/>
          <w:bCs/>
          <w:color w:val="000000"/>
          <w:u w:val="single"/>
        </w:rPr>
      </w:pPr>
    </w:p>
    <w:p w14:paraId="25CB63DE" w14:textId="77777777" w:rsidR="009B57A6" w:rsidRPr="00E92200" w:rsidRDefault="009B57A6" w:rsidP="009B57A6">
      <w:pPr>
        <w:widowControl w:val="0"/>
        <w:suppressAutoHyphens/>
        <w:ind w:left="360"/>
        <w:jc w:val="center"/>
        <w:rPr>
          <w:b/>
          <w:bCs/>
          <w:i/>
          <w:color w:val="000000"/>
        </w:rPr>
      </w:pPr>
      <w:r>
        <w:rPr>
          <w:b/>
          <w:bCs/>
          <w:i/>
          <w:color w:val="000000"/>
        </w:rPr>
        <w:t>Oversight: Budgeting for Equity</w:t>
      </w:r>
    </w:p>
    <w:p w14:paraId="06C2FAE4" w14:textId="77777777" w:rsidR="009B57A6" w:rsidRPr="00E92200" w:rsidRDefault="009B57A6" w:rsidP="009B57A6">
      <w:pPr>
        <w:widowControl w:val="0"/>
        <w:suppressAutoHyphens/>
        <w:ind w:left="360"/>
        <w:jc w:val="both"/>
        <w:rPr>
          <w:b/>
          <w:bCs/>
          <w:color w:val="000000"/>
        </w:rPr>
      </w:pPr>
    </w:p>
    <w:p w14:paraId="011FBBFF" w14:textId="77777777" w:rsidR="009B57A6" w:rsidRPr="00E92200" w:rsidRDefault="009B57A6" w:rsidP="009B57A6">
      <w:pPr>
        <w:widowControl w:val="0"/>
        <w:suppressAutoHyphens/>
        <w:ind w:left="360"/>
        <w:jc w:val="center"/>
        <w:rPr>
          <w:snapToGrid w:val="0"/>
          <w:color w:val="000000"/>
          <w:spacing w:val="-3"/>
        </w:rPr>
      </w:pPr>
    </w:p>
    <w:p w14:paraId="397BDDD5" w14:textId="77777777" w:rsidR="009B57A6" w:rsidRPr="00E92200" w:rsidRDefault="009B57A6" w:rsidP="009B57A6">
      <w:pPr>
        <w:ind w:left="360"/>
        <w:rPr>
          <w:b/>
          <w:u w:val="single"/>
        </w:rPr>
      </w:pPr>
      <w:r w:rsidRPr="00E92200">
        <w:rPr>
          <w:b/>
          <w:u w:val="single"/>
        </w:rPr>
        <w:br w:type="page"/>
      </w:r>
    </w:p>
    <w:p w14:paraId="5FFA170F" w14:textId="77777777" w:rsidR="009B57A6" w:rsidRDefault="009B57A6" w:rsidP="009B57A6">
      <w:pPr>
        <w:pStyle w:val="ListParagraph"/>
        <w:numPr>
          <w:ilvl w:val="0"/>
          <w:numId w:val="1"/>
        </w:numPr>
        <w:spacing w:line="480" w:lineRule="auto"/>
        <w:jc w:val="both"/>
        <w:rPr>
          <w:b/>
          <w:bCs/>
          <w:smallCaps/>
        </w:rPr>
      </w:pPr>
      <w:r w:rsidRPr="05521A5B">
        <w:rPr>
          <w:b/>
          <w:bCs/>
          <w:smallCaps/>
        </w:rPr>
        <w:lastRenderedPageBreak/>
        <w:t>Introduction</w:t>
      </w:r>
    </w:p>
    <w:p w14:paraId="18538839" w14:textId="15B52C24" w:rsidR="009B57A6" w:rsidRDefault="009B57A6" w:rsidP="009B57A6">
      <w:pPr>
        <w:spacing w:line="480" w:lineRule="auto"/>
        <w:ind w:firstLine="720"/>
        <w:jc w:val="both"/>
      </w:pPr>
      <w:r>
        <w:t xml:space="preserve">On February 26, 2026, </w:t>
      </w:r>
      <w:r w:rsidRPr="05521A5B">
        <w:t xml:space="preserve">the Committee on Civil and Human Rights, chaired by Council Member </w:t>
      </w:r>
      <w:r>
        <w:t>Sandy Nurse</w:t>
      </w:r>
      <w:r w:rsidRPr="05521A5B">
        <w:t xml:space="preserve">, </w:t>
      </w:r>
      <w:r>
        <w:t xml:space="preserve">will hold </w:t>
      </w:r>
      <w:r w:rsidRPr="05521A5B">
        <w:t xml:space="preserve">a hearing on </w:t>
      </w:r>
      <w:r>
        <w:t xml:space="preserve">budgeting for equity. During this hearing, the Committee is looking to deepen its understanding of the systemic inequities affecting New Yorkers and the current challenges that impacted communities in New York are facing. The Committee is also looking to hear from the administration on the delays and progress of racial equity planning and how agencies are working to consider equity during the budget process. </w:t>
      </w:r>
      <w:r w:rsidRPr="05521A5B">
        <w:t xml:space="preserve">Those invited to testify include </w:t>
      </w:r>
      <w:r>
        <w:t xml:space="preserve">the Mayor’s Office of Equity and Racial Justice (MOERJ), the Commission on Racial Equity (CORE), </w:t>
      </w:r>
      <w:r w:rsidR="00016680">
        <w:t xml:space="preserve">the NYC Independent Budget Office, </w:t>
      </w:r>
      <w:r w:rsidRPr="05521A5B">
        <w:t xml:space="preserve">advocates, </w:t>
      </w:r>
      <w:r>
        <w:t xml:space="preserve">community organizations, </w:t>
      </w:r>
      <w:r w:rsidRPr="05521A5B">
        <w:t>and members of the public.</w:t>
      </w:r>
    </w:p>
    <w:p w14:paraId="579DAA27" w14:textId="77777777" w:rsidR="009B57A6" w:rsidRPr="006E3A5C" w:rsidRDefault="009B57A6" w:rsidP="009B57A6">
      <w:pPr>
        <w:spacing w:line="480" w:lineRule="auto"/>
        <w:ind w:firstLine="720"/>
        <w:jc w:val="both"/>
        <w:rPr>
          <w:b/>
          <w:bCs/>
          <w:smallCaps/>
        </w:rPr>
      </w:pPr>
    </w:p>
    <w:p w14:paraId="569583E4" w14:textId="77777777" w:rsidR="009B57A6" w:rsidRDefault="009B57A6" w:rsidP="009B57A6">
      <w:pPr>
        <w:pStyle w:val="ListParagraph"/>
        <w:numPr>
          <w:ilvl w:val="0"/>
          <w:numId w:val="1"/>
        </w:numPr>
        <w:spacing w:line="480" w:lineRule="auto"/>
        <w:rPr>
          <w:b/>
          <w:bCs/>
          <w:smallCaps/>
        </w:rPr>
      </w:pPr>
      <w:r>
        <w:rPr>
          <w:b/>
          <w:bCs/>
          <w:smallCaps/>
        </w:rPr>
        <w:t>Background</w:t>
      </w:r>
    </w:p>
    <w:p w14:paraId="40F1A6FB" w14:textId="77777777" w:rsidR="009B57A6" w:rsidRPr="003115F1" w:rsidRDefault="009B57A6" w:rsidP="009B57A6">
      <w:pPr>
        <w:numPr>
          <w:ilvl w:val="1"/>
          <w:numId w:val="1"/>
        </w:numPr>
        <w:spacing w:after="160" w:line="259" w:lineRule="auto"/>
      </w:pPr>
      <w:r w:rsidRPr="003115F1">
        <w:rPr>
          <w:i/>
        </w:rPr>
        <w:t>Systemic Inequities</w:t>
      </w:r>
      <w:r w:rsidRPr="00800BF5">
        <w:t xml:space="preserve"> </w:t>
      </w:r>
    </w:p>
    <w:p w14:paraId="119FCD45" w14:textId="77777777" w:rsidR="009B57A6" w:rsidRPr="00800BF5" w:rsidRDefault="009B57A6" w:rsidP="009B57A6">
      <w:pPr>
        <w:spacing w:line="480" w:lineRule="auto"/>
        <w:ind w:firstLine="720"/>
        <w:jc w:val="both"/>
        <w:rPr>
          <w:color w:val="212529"/>
          <w:shd w:val="clear" w:color="auto" w:fill="FFFFFF"/>
        </w:rPr>
      </w:pPr>
      <w:r w:rsidRPr="003115F1">
        <w:rPr>
          <w:color w:val="212529"/>
          <w:shd w:val="clear" w:color="auto" w:fill="FFFFFF"/>
        </w:rPr>
        <w:t xml:space="preserve">Systemic or structural inequity </w:t>
      </w:r>
      <w:r w:rsidRPr="00800BF5">
        <w:rPr>
          <w:color w:val="212529"/>
          <w:shd w:val="clear" w:color="auto" w:fill="FFFFFF"/>
        </w:rPr>
        <w:t>has a longstanding history in the United States, including in</w:t>
      </w:r>
      <w:r w:rsidRPr="003115F1">
        <w:rPr>
          <w:color w:val="212529"/>
          <w:shd w:val="clear" w:color="auto" w:fill="FFFFFF"/>
        </w:rPr>
        <w:t xml:space="preserve"> New York State and New York City.</w:t>
      </w:r>
      <w:r w:rsidRPr="00800BF5">
        <w:rPr>
          <w:rStyle w:val="FootnoteReference"/>
          <w:color w:val="212529"/>
          <w:shd w:val="clear" w:color="auto" w:fill="FFFFFF"/>
        </w:rPr>
        <w:footnoteReference w:id="1"/>
      </w:r>
      <w:r w:rsidRPr="00800BF5">
        <w:rPr>
          <w:color w:val="212529"/>
          <w:shd w:val="clear" w:color="auto" w:fill="FFFFFF"/>
        </w:rPr>
        <w:t xml:space="preserve"> Defined</w:t>
      </w:r>
      <w:r w:rsidRPr="003115F1">
        <w:rPr>
          <w:color w:val="212529"/>
          <w:shd w:val="clear" w:color="auto" w:fill="FFFFFF"/>
        </w:rPr>
        <w:t xml:space="preserve"> as institutionally created and reinforced privilege for some groups of people and a lack of privilege and access to resources by others, systemic inequities include policies</w:t>
      </w:r>
      <w:r>
        <w:rPr>
          <w:color w:val="212529"/>
          <w:shd w:val="clear" w:color="auto" w:fill="FFFFFF"/>
        </w:rPr>
        <w:t xml:space="preserve"> </w:t>
      </w:r>
      <w:r w:rsidRPr="00800BF5">
        <w:rPr>
          <w:color w:val="212529"/>
          <w:shd w:val="clear" w:color="auto" w:fill="FFFFFF"/>
        </w:rPr>
        <w:t xml:space="preserve">such as redlining, school segregation, </w:t>
      </w:r>
      <w:r w:rsidRPr="003115F1">
        <w:rPr>
          <w:color w:val="212529"/>
          <w:shd w:val="clear" w:color="auto" w:fill="FFFFFF"/>
        </w:rPr>
        <w:t>and discriminatory policing and judicial practices, to highlight a few.</w:t>
      </w:r>
      <w:r w:rsidRPr="00800BF5">
        <w:rPr>
          <w:rStyle w:val="FootnoteReference"/>
          <w:color w:val="212529"/>
          <w:shd w:val="clear" w:color="auto" w:fill="FFFFFF"/>
        </w:rPr>
        <w:footnoteReference w:id="2"/>
      </w:r>
      <w:r>
        <w:rPr>
          <w:color w:val="212529"/>
          <w:shd w:val="clear" w:color="auto" w:fill="FFFFFF"/>
        </w:rPr>
        <w:t xml:space="preserve"> </w:t>
      </w:r>
      <w:r w:rsidRPr="00800BF5">
        <w:rPr>
          <w:color w:val="212529"/>
          <w:shd w:val="clear" w:color="auto" w:fill="FFFFFF"/>
        </w:rPr>
        <w:t>Long-term participation</w:t>
      </w:r>
      <w:r w:rsidRPr="003115F1">
        <w:rPr>
          <w:color w:val="212529"/>
          <w:shd w:val="clear" w:color="auto" w:fill="FFFFFF"/>
        </w:rPr>
        <w:t xml:space="preserve"> in these practices</w:t>
      </w:r>
      <w:r>
        <w:rPr>
          <w:color w:val="212529"/>
          <w:shd w:val="clear" w:color="auto" w:fill="FFFFFF"/>
        </w:rPr>
        <w:t xml:space="preserve"> </w:t>
      </w:r>
      <w:r w:rsidRPr="003115F1">
        <w:rPr>
          <w:color w:val="212529"/>
          <w:shd w:val="clear" w:color="auto" w:fill="FFFFFF"/>
        </w:rPr>
        <w:t xml:space="preserve">has played a role in hindering the equal advancement of </w:t>
      </w:r>
      <w:r>
        <w:rPr>
          <w:color w:val="212529"/>
          <w:shd w:val="clear" w:color="auto" w:fill="FFFFFF"/>
        </w:rPr>
        <w:t xml:space="preserve">all </w:t>
      </w:r>
      <w:r w:rsidRPr="003115F1">
        <w:rPr>
          <w:color w:val="212529"/>
          <w:shd w:val="clear" w:color="auto" w:fill="FFFFFF"/>
        </w:rPr>
        <w:t>New Yorkers while simultaneously creating greater o</w:t>
      </w:r>
      <w:r>
        <w:rPr>
          <w:color w:val="212529"/>
          <w:shd w:val="clear" w:color="auto" w:fill="FFFFFF"/>
        </w:rPr>
        <w:t>pportunities for white New Yorkers</w:t>
      </w:r>
      <w:r w:rsidRPr="003115F1">
        <w:rPr>
          <w:color w:val="212529"/>
          <w:shd w:val="clear" w:color="auto" w:fill="FFFFFF"/>
        </w:rPr>
        <w:t xml:space="preserve"> to build wealth, access resources, and receive services</w:t>
      </w:r>
      <w:r>
        <w:rPr>
          <w:color w:val="212529"/>
          <w:shd w:val="clear" w:color="auto" w:fill="FFFFFF"/>
        </w:rPr>
        <w:t>.</w:t>
      </w:r>
      <w:r w:rsidRPr="00800BF5">
        <w:rPr>
          <w:rStyle w:val="FootnoteReference"/>
          <w:color w:val="212529"/>
          <w:shd w:val="clear" w:color="auto" w:fill="FFFFFF"/>
        </w:rPr>
        <w:footnoteReference w:id="3"/>
      </w:r>
      <w:r w:rsidRPr="00800BF5">
        <w:rPr>
          <w:color w:val="212529"/>
          <w:shd w:val="clear" w:color="auto" w:fill="FFFFFF"/>
        </w:rPr>
        <w:t xml:space="preserve"> </w:t>
      </w:r>
    </w:p>
    <w:p w14:paraId="3A927AA0" w14:textId="77777777" w:rsidR="009B57A6" w:rsidRDefault="009B57A6" w:rsidP="009B57A6">
      <w:pPr>
        <w:spacing w:line="480" w:lineRule="auto"/>
        <w:jc w:val="both"/>
        <w:rPr>
          <w:color w:val="212529"/>
          <w:shd w:val="clear" w:color="auto" w:fill="FFFFFF"/>
        </w:rPr>
      </w:pPr>
      <w:r w:rsidRPr="00CF580F">
        <w:rPr>
          <w:color w:val="212529"/>
          <w:shd w:val="clear" w:color="auto" w:fill="FFFFFF"/>
        </w:rPr>
        <w:lastRenderedPageBreak/>
        <w:t>Efforts to enhance financial well-being through land or property ownership has historically mainly benefitted white households, due to practices that displaced people of color, denied them wealth-building opportunities through redlining</w:t>
      </w:r>
      <w:r>
        <w:rPr>
          <w:color w:val="212529"/>
          <w:shd w:val="clear" w:color="auto" w:fill="FFFFFF"/>
        </w:rPr>
        <w:t>,</w:t>
      </w:r>
      <w:r w:rsidRPr="00800BF5">
        <w:rPr>
          <w:rStyle w:val="FootnoteReference"/>
          <w:color w:val="212529"/>
          <w:shd w:val="clear" w:color="auto" w:fill="FFFFFF"/>
        </w:rPr>
        <w:footnoteReference w:id="4"/>
      </w:r>
      <w:r w:rsidRPr="00CF580F">
        <w:rPr>
          <w:color w:val="212529"/>
          <w:shd w:val="clear" w:color="auto" w:fill="FFFFFF"/>
        </w:rPr>
        <w:t xml:space="preserve"> and relocated them to isolated communities.</w:t>
      </w:r>
      <w:r w:rsidRPr="00800BF5">
        <w:rPr>
          <w:rStyle w:val="FootnoteReference"/>
          <w:color w:val="212529"/>
          <w:shd w:val="clear" w:color="auto" w:fill="FFFFFF"/>
        </w:rPr>
        <w:footnoteReference w:id="5"/>
      </w:r>
      <w:r w:rsidRPr="00CF580F">
        <w:rPr>
          <w:color w:val="212529"/>
          <w:shd w:val="clear" w:color="auto" w:fill="FFFFFF"/>
        </w:rPr>
        <w:t xml:space="preserve"> Additionally, redlining was a driving force behind residential racial segregation, as Black home buyers were also denied access</w:t>
      </w:r>
      <w:r w:rsidRPr="00800BF5">
        <w:rPr>
          <w:rStyle w:val="FootnoteReference"/>
          <w:color w:val="212529"/>
          <w:shd w:val="clear" w:color="auto" w:fill="FFFFFF"/>
        </w:rPr>
        <w:footnoteReference w:id="6"/>
      </w:r>
      <w:r w:rsidRPr="00CF580F">
        <w:rPr>
          <w:color w:val="212529"/>
          <w:shd w:val="clear" w:color="auto" w:fill="FFFFFF"/>
        </w:rPr>
        <w:t xml:space="preserve"> to “desirable” neighborhoods by real estate practices, not only due to racism but also the fear that they would drive down the value of these neighborhoods.</w:t>
      </w:r>
      <w:r>
        <w:rPr>
          <w:rStyle w:val="FootnoteReference"/>
          <w:color w:val="212529"/>
          <w:shd w:val="clear" w:color="auto" w:fill="FFFFFF"/>
        </w:rPr>
        <w:footnoteReference w:id="7"/>
      </w:r>
      <w:r w:rsidRPr="00CF580F">
        <w:rPr>
          <w:color w:val="212529"/>
          <w:shd w:val="clear" w:color="auto" w:fill="FFFFFF"/>
        </w:rPr>
        <w:t xml:space="preserve"> Though redlining was banned in 1968</w:t>
      </w:r>
      <w:r>
        <w:rPr>
          <w:color w:val="212529"/>
          <w:shd w:val="clear" w:color="auto" w:fill="FFFFFF"/>
        </w:rPr>
        <w:t>,</w:t>
      </w:r>
      <w:r w:rsidRPr="00800BF5">
        <w:rPr>
          <w:rStyle w:val="FootnoteReference"/>
          <w:color w:val="212529"/>
          <w:shd w:val="clear" w:color="auto" w:fill="FFFFFF"/>
        </w:rPr>
        <w:footnoteReference w:id="8"/>
      </w:r>
      <w:r w:rsidRPr="00CF580F">
        <w:rPr>
          <w:color w:val="212529"/>
          <w:shd w:val="clear" w:color="auto" w:fill="FFFFFF"/>
        </w:rPr>
        <w:t xml:space="preserve"> its effects can still be seen in modern times. According to the National Community Reinvestment Coalition, as recently as 2018, 3 out of every 4 neighborhoods that were redlined during the Great Depression are still considered low-to-moderate income and 2 out of 3 of these neighborhoods are made up predominately by residents who identify as persons of color.</w:t>
      </w:r>
      <w:r w:rsidRPr="00800BF5">
        <w:rPr>
          <w:rStyle w:val="FootnoteReference"/>
          <w:color w:val="212529"/>
          <w:shd w:val="clear" w:color="auto" w:fill="FFFFFF"/>
        </w:rPr>
        <w:footnoteReference w:id="9"/>
      </w:r>
      <w:r w:rsidRPr="00CF580F">
        <w:rPr>
          <w:color w:val="212529"/>
          <w:shd w:val="clear" w:color="auto" w:fill="FFFFFF"/>
        </w:rPr>
        <w:t xml:space="preserve">  New York City is no exception to these effects. Neighborhoods that were redlined during the 1930s continue to have higher rates of poverty.</w:t>
      </w:r>
      <w:r w:rsidRPr="00800BF5">
        <w:rPr>
          <w:rStyle w:val="FootnoteReference"/>
          <w:color w:val="212529"/>
          <w:shd w:val="clear" w:color="auto" w:fill="FFFFFF"/>
        </w:rPr>
        <w:footnoteReference w:id="10"/>
      </w:r>
      <w:r w:rsidRPr="00CF580F">
        <w:rPr>
          <w:color w:val="212529"/>
          <w:shd w:val="clear" w:color="auto" w:fill="FFFFFF"/>
        </w:rPr>
        <w:t xml:space="preserve"> The continued devaluing of redlined neighborhoods impacts access to services such as public and private funding as well as access to resources such as adequate healthcare</w:t>
      </w:r>
      <w:r>
        <w:rPr>
          <w:color w:val="212529"/>
          <w:shd w:val="clear" w:color="auto" w:fill="FFFFFF"/>
        </w:rPr>
        <w:t>.</w:t>
      </w:r>
      <w:r w:rsidRPr="00800BF5">
        <w:rPr>
          <w:rStyle w:val="FootnoteReference"/>
          <w:color w:val="212529"/>
          <w:shd w:val="clear" w:color="auto" w:fill="FFFFFF"/>
        </w:rPr>
        <w:footnoteReference w:id="11"/>
      </w:r>
    </w:p>
    <w:p w14:paraId="20772C8F" w14:textId="77777777" w:rsidR="009B57A6" w:rsidRDefault="009B57A6" w:rsidP="009B57A6">
      <w:pPr>
        <w:spacing w:line="480" w:lineRule="auto"/>
        <w:ind w:firstLine="720"/>
        <w:jc w:val="both"/>
        <w:rPr>
          <w:color w:val="212529"/>
          <w:shd w:val="clear" w:color="auto" w:fill="FFFFFF"/>
        </w:rPr>
      </w:pPr>
    </w:p>
    <w:p w14:paraId="16F53B06" w14:textId="79D59E7E" w:rsidR="009B57A6" w:rsidRDefault="009B57A6" w:rsidP="009B57A6">
      <w:pPr>
        <w:spacing w:line="480" w:lineRule="auto"/>
        <w:ind w:firstLine="720"/>
        <w:jc w:val="both"/>
        <w:rPr>
          <w:color w:val="212529"/>
          <w:shd w:val="clear" w:color="auto" w:fill="FFFFFF"/>
        </w:rPr>
      </w:pPr>
      <w:r w:rsidRPr="00CF580F">
        <w:rPr>
          <w:color w:val="212529"/>
          <w:shd w:val="clear" w:color="auto" w:fill="FFFFFF"/>
        </w:rPr>
        <w:lastRenderedPageBreak/>
        <w:t>The effect</w:t>
      </w:r>
      <w:r>
        <w:rPr>
          <w:color w:val="212529"/>
          <w:shd w:val="clear" w:color="auto" w:fill="FFFFFF"/>
        </w:rPr>
        <w:t>s</w:t>
      </w:r>
      <w:r w:rsidRPr="00CF580F">
        <w:rPr>
          <w:color w:val="212529"/>
          <w:shd w:val="clear" w:color="auto" w:fill="FFFFFF"/>
        </w:rPr>
        <w:t xml:space="preserve"> of </w:t>
      </w:r>
      <w:r>
        <w:rPr>
          <w:color w:val="212529"/>
          <w:shd w:val="clear" w:color="auto" w:fill="FFFFFF"/>
        </w:rPr>
        <w:t xml:space="preserve">these </w:t>
      </w:r>
      <w:r w:rsidRPr="00CF580F">
        <w:rPr>
          <w:color w:val="212529"/>
          <w:shd w:val="clear" w:color="auto" w:fill="FFFFFF"/>
        </w:rPr>
        <w:t xml:space="preserve">structural issues </w:t>
      </w:r>
      <w:r>
        <w:rPr>
          <w:color w:val="212529"/>
          <w:shd w:val="clear" w:color="auto" w:fill="FFFFFF"/>
        </w:rPr>
        <w:t>also play a role in education</w:t>
      </w:r>
      <w:r w:rsidR="00E65F15">
        <w:rPr>
          <w:color w:val="212529"/>
          <w:shd w:val="clear" w:color="auto" w:fill="FFFFFF"/>
        </w:rPr>
        <w:t xml:space="preserve"> inequities in the city.</w:t>
      </w:r>
      <w:r w:rsidR="00E65F15">
        <w:rPr>
          <w:rStyle w:val="FootnoteReference"/>
          <w:color w:val="212529"/>
          <w:shd w:val="clear" w:color="auto" w:fill="FFFFFF"/>
        </w:rPr>
        <w:footnoteReference w:id="12"/>
      </w:r>
      <w:r w:rsidRPr="00CF580F">
        <w:rPr>
          <w:color w:val="212529"/>
          <w:shd w:val="clear" w:color="auto" w:fill="FFFFFF"/>
        </w:rPr>
        <w:t xml:space="preserve">. </w:t>
      </w:r>
      <w:r w:rsidR="00E65F15" w:rsidRPr="00E65F15">
        <w:rPr>
          <w:color w:val="212529"/>
          <w:shd w:val="clear" w:color="auto" w:fill="FFFFFF"/>
        </w:rPr>
        <w:t xml:space="preserve">New York City schools </w:t>
      </w:r>
      <w:r w:rsidR="00E65F15">
        <w:rPr>
          <w:color w:val="212529"/>
          <w:shd w:val="clear" w:color="auto" w:fill="FFFFFF"/>
        </w:rPr>
        <w:t xml:space="preserve">have historically been, and </w:t>
      </w:r>
      <w:r w:rsidR="001002B7">
        <w:rPr>
          <w:color w:val="212529"/>
          <w:shd w:val="clear" w:color="auto" w:fill="FFFFFF"/>
        </w:rPr>
        <w:t xml:space="preserve">still </w:t>
      </w:r>
      <w:r w:rsidR="00E65F15">
        <w:rPr>
          <w:color w:val="212529"/>
          <w:shd w:val="clear" w:color="auto" w:fill="FFFFFF"/>
        </w:rPr>
        <w:t xml:space="preserve">remain </w:t>
      </w:r>
      <w:r w:rsidR="00E65F15" w:rsidRPr="00E65F15">
        <w:rPr>
          <w:color w:val="212529"/>
          <w:shd w:val="clear" w:color="auto" w:fill="FFFFFF"/>
        </w:rPr>
        <w:t>among the most segregated in the nation.</w:t>
      </w:r>
      <w:r w:rsidR="00E65F15">
        <w:rPr>
          <w:rStyle w:val="FootnoteReference"/>
          <w:color w:val="212529"/>
          <w:shd w:val="clear" w:color="auto" w:fill="FFFFFF"/>
        </w:rPr>
        <w:footnoteReference w:id="13"/>
      </w:r>
      <w:r w:rsidR="00E65F15" w:rsidRPr="00E65F15">
        <w:rPr>
          <w:color w:val="212529"/>
          <w:shd w:val="clear" w:color="auto" w:fill="FFFFFF"/>
        </w:rPr>
        <w:t xml:space="preserve"> The</w:t>
      </w:r>
      <w:r w:rsidR="001002B7">
        <w:rPr>
          <w:color w:val="212529"/>
          <w:shd w:val="clear" w:color="auto" w:fill="FFFFFF"/>
        </w:rPr>
        <w:t>se</w:t>
      </w:r>
      <w:r w:rsidR="00E65F15" w:rsidRPr="00E65F15">
        <w:rPr>
          <w:color w:val="212529"/>
          <w:shd w:val="clear" w:color="auto" w:fill="FFFFFF"/>
        </w:rPr>
        <w:t xml:space="preserve"> divides </w:t>
      </w:r>
      <w:r w:rsidR="001002B7">
        <w:rPr>
          <w:color w:val="212529"/>
          <w:shd w:val="clear" w:color="auto" w:fill="FFFFFF"/>
        </w:rPr>
        <w:t xml:space="preserve">are the product of </w:t>
      </w:r>
      <w:r w:rsidR="00713A6C">
        <w:rPr>
          <w:color w:val="212529"/>
          <w:shd w:val="clear" w:color="auto" w:fill="FFFFFF"/>
        </w:rPr>
        <w:t xml:space="preserve">many factors, including </w:t>
      </w:r>
      <w:r w:rsidR="001002B7">
        <w:rPr>
          <w:color w:val="212529"/>
          <w:shd w:val="clear" w:color="auto" w:fill="FFFFFF"/>
        </w:rPr>
        <w:t xml:space="preserve">selective </w:t>
      </w:r>
      <w:r w:rsidR="00E65F15" w:rsidRPr="00E65F15">
        <w:rPr>
          <w:color w:val="212529"/>
          <w:shd w:val="clear" w:color="auto" w:fill="FFFFFF"/>
        </w:rPr>
        <w:t>admissions systems</w:t>
      </w:r>
      <w:r w:rsidR="001002B7">
        <w:rPr>
          <w:color w:val="212529"/>
          <w:shd w:val="clear" w:color="auto" w:fill="FFFFFF"/>
        </w:rPr>
        <w:t xml:space="preserve"> based on testing that favors students with greater resources at home</w:t>
      </w:r>
      <w:r w:rsidR="00E65F15" w:rsidRPr="00E65F15">
        <w:rPr>
          <w:color w:val="212529"/>
          <w:shd w:val="clear" w:color="auto" w:fill="FFFFFF"/>
        </w:rPr>
        <w:t xml:space="preserve">, </w:t>
      </w:r>
      <w:r w:rsidR="001002B7">
        <w:rPr>
          <w:color w:val="212529"/>
          <w:shd w:val="clear" w:color="auto" w:fill="FFFFFF"/>
        </w:rPr>
        <w:t>zoning decisions, the City’s heritage of redlining and residential discrimination, which impacts where students can enroll in schools</w:t>
      </w:r>
      <w:r w:rsidR="00E65F15" w:rsidRPr="00E65F15">
        <w:rPr>
          <w:color w:val="212529"/>
          <w:shd w:val="clear" w:color="auto" w:fill="FFFFFF"/>
        </w:rPr>
        <w:t>, and resource allocation.</w:t>
      </w:r>
      <w:r w:rsidR="001002B7">
        <w:rPr>
          <w:rStyle w:val="FootnoteReference"/>
          <w:color w:val="212529"/>
          <w:shd w:val="clear" w:color="auto" w:fill="FFFFFF"/>
        </w:rPr>
        <w:footnoteReference w:id="14"/>
      </w:r>
      <w:r w:rsidR="00E65F15" w:rsidRPr="00E65F15">
        <w:rPr>
          <w:color w:val="212529"/>
          <w:shd w:val="clear" w:color="auto" w:fill="FFFFFF"/>
        </w:rPr>
        <w:t xml:space="preserve"> </w:t>
      </w:r>
      <w:r w:rsidRPr="00CF580F">
        <w:rPr>
          <w:color w:val="212529"/>
          <w:shd w:val="clear" w:color="auto" w:fill="FFFFFF"/>
        </w:rPr>
        <w:t>Systemic educational barriers notably play a large role in hindering educational, professional, and financial upward mobility</w:t>
      </w:r>
      <w:r>
        <w:rPr>
          <w:rStyle w:val="FootnoteReference"/>
          <w:color w:val="212529"/>
          <w:shd w:val="clear" w:color="auto" w:fill="FFFFFF"/>
        </w:rPr>
        <w:footnoteReference w:id="15"/>
      </w:r>
      <w:r w:rsidRPr="00CF580F">
        <w:rPr>
          <w:color w:val="212529"/>
          <w:shd w:val="clear" w:color="auto" w:fill="FFFFFF"/>
        </w:rPr>
        <w:t xml:space="preserve"> and not only help to create gaps in racial education and wealth building, but also help to maintain them.</w:t>
      </w:r>
      <w:r w:rsidRPr="00800BF5">
        <w:rPr>
          <w:rStyle w:val="FootnoteReference"/>
          <w:color w:val="212529"/>
          <w:shd w:val="clear" w:color="auto" w:fill="FFFFFF"/>
        </w:rPr>
        <w:footnoteReference w:id="16"/>
      </w:r>
    </w:p>
    <w:p w14:paraId="58E61D2F" w14:textId="2756967F" w:rsidR="009B57A6" w:rsidRPr="00F72A57" w:rsidRDefault="009B57A6" w:rsidP="009B57A6">
      <w:pPr>
        <w:spacing w:line="480" w:lineRule="auto"/>
        <w:ind w:firstLine="720"/>
        <w:jc w:val="both"/>
      </w:pPr>
      <w:r w:rsidRPr="00800BF5">
        <w:t xml:space="preserve">Discriminatory policing and judicial practices have also contributed to the </w:t>
      </w:r>
      <w:r w:rsidRPr="003115F1">
        <w:t xml:space="preserve">stagnated growth of </w:t>
      </w:r>
      <w:r>
        <w:t xml:space="preserve">non-white </w:t>
      </w:r>
      <w:r w:rsidRPr="003115F1">
        <w:t>wealth.</w:t>
      </w:r>
      <w:r w:rsidRPr="00800BF5">
        <w:rPr>
          <w:rStyle w:val="FootnoteReference"/>
        </w:rPr>
        <w:footnoteReference w:id="17"/>
      </w:r>
      <w:r w:rsidRPr="00800BF5">
        <w:t xml:space="preserve"> </w:t>
      </w:r>
      <w:r w:rsidRPr="003115F1">
        <w:t>As of 2024, the United States has the highest incarceration rate of any independent democracy in the world</w:t>
      </w:r>
      <w:r>
        <w:t>,</w:t>
      </w:r>
      <w:r w:rsidRPr="003115F1">
        <w:rPr>
          <w:rStyle w:val="FootnoteReference"/>
        </w:rPr>
        <w:footnoteReference w:id="18"/>
      </w:r>
      <w:r w:rsidRPr="003115F1">
        <w:t xml:space="preserve"> and also has the largest number of people living under correctional control more broadly (including probation and parole)</w:t>
      </w:r>
      <w:r>
        <w:t>.</w:t>
      </w:r>
      <w:r w:rsidRPr="003115F1">
        <w:rPr>
          <w:rStyle w:val="FootnoteReference"/>
        </w:rPr>
        <w:footnoteReference w:id="19"/>
      </w:r>
      <w:r w:rsidRPr="003115F1">
        <w:t xml:space="preserve"> With nearly 2 million people behind bars in the U.S.,</w:t>
      </w:r>
      <w:r w:rsidRPr="003115F1">
        <w:rPr>
          <w:rStyle w:val="FootnoteReference"/>
        </w:rPr>
        <w:footnoteReference w:id="20"/>
      </w:r>
      <w:r w:rsidRPr="003115F1">
        <w:t xml:space="preserve"> the size of the American criminal justice system is not only the largest of its kind, but it is </w:t>
      </w:r>
      <w:r>
        <w:t>has risen steadily in recent years</w:t>
      </w:r>
      <w:r w:rsidRPr="003115F1">
        <w:t>.</w:t>
      </w:r>
      <w:r w:rsidRPr="003115F1">
        <w:rPr>
          <w:rStyle w:val="FootnoteReference"/>
        </w:rPr>
        <w:footnoteReference w:id="21"/>
      </w:r>
      <w:r w:rsidRPr="003115F1">
        <w:t xml:space="preserve"> Black, indigenous, and people of color (BIPOC)</w:t>
      </w:r>
      <w:r>
        <w:t xml:space="preserve">, are </w:t>
      </w:r>
      <w:r w:rsidRPr="003115F1">
        <w:t>overrepresented in U.S. jails and prisons at rates incredibly disproportionate to their representation in the nation’s total overall population, and non-</w:t>
      </w:r>
      <w:r>
        <w:t>w</w:t>
      </w:r>
      <w:r w:rsidRPr="003115F1">
        <w:t xml:space="preserve">hite </w:t>
      </w:r>
      <w:r w:rsidR="005C6AA7">
        <w:t>Americans as a whole</w:t>
      </w:r>
      <w:r w:rsidR="005C6AA7" w:rsidRPr="003115F1">
        <w:t xml:space="preserve"> </w:t>
      </w:r>
      <w:r>
        <w:t xml:space="preserve">are </w:t>
      </w:r>
      <w:r w:rsidRPr="003115F1">
        <w:t>incarcerated at a rate far higher than that of white people.</w:t>
      </w:r>
      <w:r w:rsidRPr="00CF580F">
        <w:rPr>
          <w:rStyle w:val="FootnoteReference"/>
        </w:rPr>
        <w:footnoteReference w:id="22"/>
      </w:r>
      <w:r w:rsidRPr="00CF580F">
        <w:t xml:space="preserve"> </w:t>
      </w:r>
      <w:r w:rsidRPr="00800BF5">
        <w:t>Despite the C</w:t>
      </w:r>
      <w:r w:rsidRPr="003115F1">
        <w:t xml:space="preserve">ity’s progressive reputation, the tactics that have been used by the New York Police Department (NYPD) </w:t>
      </w:r>
      <w:r>
        <w:t>especially</w:t>
      </w:r>
      <w:r w:rsidRPr="003115F1">
        <w:t xml:space="preserve"> disproportionately affect Black New Yorkers.</w:t>
      </w:r>
      <w:r w:rsidRPr="00800BF5">
        <w:rPr>
          <w:rStyle w:val="FootnoteReference"/>
        </w:rPr>
        <w:footnoteReference w:id="23"/>
      </w:r>
      <w:r w:rsidRPr="00800BF5">
        <w:t xml:space="preserve"> Such tactics include stop and frisk protocols, </w:t>
      </w:r>
      <w:r>
        <w:t>what some have argued are excessive use of</w:t>
      </w:r>
      <w:r w:rsidRPr="00800BF5">
        <w:t xml:space="preserve"> low-level arrests and summonses, surveil</w:t>
      </w:r>
      <w:r w:rsidRPr="003115F1">
        <w:t>lance of BIPOC communities and neighborhoods, and police intervention in school discipline.</w:t>
      </w:r>
      <w:r w:rsidRPr="00800BF5">
        <w:rPr>
          <w:rStyle w:val="FootnoteReference"/>
        </w:rPr>
        <w:footnoteReference w:id="24"/>
      </w:r>
      <w:r w:rsidRPr="00800BF5">
        <w:t xml:space="preserve"> For people stopped by the N</w:t>
      </w:r>
      <w:r w:rsidRPr="003115F1">
        <w:t>YPD, an arrest or conviction for even a low-level offense can lead to the loss of child custody, their job, immigration status, financial and educational loans, professional licensure, and residence in public housing.</w:t>
      </w:r>
      <w:r w:rsidRPr="00800BF5">
        <w:rPr>
          <w:rStyle w:val="FootnoteReference"/>
        </w:rPr>
        <w:footnoteReference w:id="25"/>
      </w:r>
      <w:r w:rsidRPr="00800BF5">
        <w:t xml:space="preserve"> </w:t>
      </w:r>
    </w:p>
    <w:p w14:paraId="0EFA8345" w14:textId="77777777" w:rsidR="009B57A6" w:rsidRPr="00E016B2" w:rsidRDefault="009B57A6" w:rsidP="009B57A6">
      <w:pPr>
        <w:pStyle w:val="ListParagraph"/>
        <w:numPr>
          <w:ilvl w:val="1"/>
          <w:numId w:val="1"/>
        </w:numPr>
        <w:spacing w:line="480" w:lineRule="auto"/>
        <w:rPr>
          <w:b/>
          <w:bCs/>
          <w:i/>
          <w:smallCaps/>
        </w:rPr>
      </w:pPr>
      <w:r w:rsidRPr="00D30185">
        <w:rPr>
          <w:i/>
        </w:rPr>
        <w:t>Current trends and challenges</w:t>
      </w:r>
    </w:p>
    <w:p w14:paraId="3B8AB6D3" w14:textId="77777777" w:rsidR="009B57A6" w:rsidRDefault="009B57A6" w:rsidP="009B57A6">
      <w:pPr>
        <w:spacing w:line="480" w:lineRule="auto"/>
        <w:ind w:firstLine="720"/>
        <w:jc w:val="both"/>
      </w:pPr>
      <w:r>
        <w:t>As acknowledged in the City Charter’s Preamble,</w:t>
      </w:r>
      <w:r>
        <w:rPr>
          <w:rStyle w:val="FootnoteReference"/>
        </w:rPr>
        <w:footnoteReference w:id="26"/>
      </w:r>
      <w:r>
        <w:t xml:space="preserve"> New Yorkers of color have long experienced the negative impacts of systemic racial inequities,</w:t>
      </w:r>
      <w:r>
        <w:rPr>
          <w:rStyle w:val="FootnoteReference"/>
        </w:rPr>
        <w:footnoteReference w:id="27"/>
      </w:r>
      <w:r>
        <w:t xml:space="preserve"> as measured across a wide range of indicators within many fields, such as those of health, education, criminal justice, and economic well-being. </w:t>
      </w:r>
    </w:p>
    <w:p w14:paraId="53947E70" w14:textId="77777777" w:rsidR="009B57A6" w:rsidRDefault="009B57A6" w:rsidP="009B57A6">
      <w:pPr>
        <w:spacing w:line="480" w:lineRule="auto"/>
        <w:ind w:firstLine="720"/>
        <w:jc w:val="both"/>
      </w:pPr>
      <w:r>
        <w:t>According to Robin Hood and Columbia University’s Poverty Tracker, 59 percent of Black New Yorkers lived in poverty for at least one year between the years of 2016-2020.</w:t>
      </w:r>
      <w:r>
        <w:rPr>
          <w:rStyle w:val="FootnoteReference"/>
        </w:rPr>
        <w:footnoteReference w:id="28"/>
      </w:r>
      <w:r>
        <w:t xml:space="preserve"> Furthermore, 35 percent of New Yorkers that successfully make their way out of living in poverty find themselves back in poverty by the following year,</w:t>
      </w:r>
      <w:r>
        <w:rPr>
          <w:rStyle w:val="FootnoteReference"/>
        </w:rPr>
        <w:footnoteReference w:id="29"/>
      </w:r>
      <w:r>
        <w:t xml:space="preserve"> indicating major difficulty to maintain long-term economic stability in New York City for many. Additionally, more than half of white adults in the city were considered to be high-income, compared to 23 percent of Black adults.</w:t>
      </w:r>
      <w:r>
        <w:rPr>
          <w:rStyle w:val="FootnoteReference"/>
        </w:rPr>
        <w:footnoteReference w:id="30"/>
      </w:r>
      <w:r>
        <w:t xml:space="preserve"> Other key findings include, but are not limited to:</w:t>
      </w:r>
    </w:p>
    <w:p w14:paraId="02C37AF7" w14:textId="77777777" w:rsidR="009B57A6" w:rsidRDefault="009B57A6" w:rsidP="009B57A6">
      <w:pPr>
        <w:pStyle w:val="ListParagraph"/>
        <w:numPr>
          <w:ilvl w:val="0"/>
          <w:numId w:val="2"/>
        </w:numPr>
        <w:spacing w:line="480" w:lineRule="auto"/>
        <w:jc w:val="both"/>
      </w:pPr>
      <w:r>
        <w:t>Black and Latino New Yorkers were five times more likely than white New Yorkers to face severe food hardship</w:t>
      </w:r>
      <w:r>
        <w:rPr>
          <w:rStyle w:val="FootnoteReference"/>
        </w:rPr>
        <w:footnoteReference w:id="31"/>
      </w:r>
      <w:r>
        <w:t xml:space="preserve"> in 2019.</w:t>
      </w:r>
      <w:r>
        <w:rPr>
          <w:rStyle w:val="FootnoteReference"/>
        </w:rPr>
        <w:footnoteReference w:id="32"/>
      </w:r>
    </w:p>
    <w:p w14:paraId="2050F4E7" w14:textId="77777777" w:rsidR="009B57A6" w:rsidRDefault="009B57A6" w:rsidP="009B57A6">
      <w:pPr>
        <w:pStyle w:val="ListParagraph"/>
        <w:numPr>
          <w:ilvl w:val="0"/>
          <w:numId w:val="2"/>
        </w:numPr>
        <w:spacing w:line="480" w:lineRule="auto"/>
        <w:jc w:val="both"/>
      </w:pPr>
      <w:r>
        <w:t>Between 2015 and 2019, roughly two-thirds of Black New Yorkers faced material hardship in at least one year, compared to a third of white New Yorkers.</w:t>
      </w:r>
      <w:r>
        <w:rPr>
          <w:rStyle w:val="FootnoteReference"/>
        </w:rPr>
        <w:footnoteReference w:id="33"/>
      </w:r>
    </w:p>
    <w:p w14:paraId="5CD00AF9" w14:textId="77777777" w:rsidR="009B57A6" w:rsidRDefault="009B57A6" w:rsidP="009B57A6">
      <w:pPr>
        <w:pStyle w:val="ListParagraph"/>
        <w:numPr>
          <w:ilvl w:val="0"/>
          <w:numId w:val="2"/>
        </w:numPr>
        <w:spacing w:line="480" w:lineRule="auto"/>
        <w:jc w:val="both"/>
      </w:pPr>
      <w:r>
        <w:rPr>
          <w:color w:val="212529"/>
          <w:shd w:val="clear" w:color="auto" w:fill="FFFFFF"/>
        </w:rPr>
        <w:t>R</w:t>
      </w:r>
      <w:r>
        <w:t>oughly 20 percent of Black and Latino New Yorkers were unable to see a medical professional because of the cost, compared to only 6 percent of white New Yorkers.</w:t>
      </w:r>
      <w:r>
        <w:rPr>
          <w:rStyle w:val="FootnoteReference"/>
        </w:rPr>
        <w:footnoteReference w:id="34"/>
      </w:r>
    </w:p>
    <w:p w14:paraId="3441E71F" w14:textId="77777777" w:rsidR="009B57A6" w:rsidRDefault="009B57A6" w:rsidP="009B57A6">
      <w:pPr>
        <w:pStyle w:val="ListParagraph"/>
        <w:numPr>
          <w:ilvl w:val="0"/>
          <w:numId w:val="2"/>
        </w:numPr>
        <w:spacing w:line="480" w:lineRule="auto"/>
        <w:jc w:val="both"/>
      </w:pPr>
      <w:r>
        <w:t>Nearly 80 percent of Black New Yorkers reported facing at least one form of institutional discrimination in their lifetime (such as when trying to vote or to rent an apartment, when applying for jobs or promotions, or when interacting with the police).</w:t>
      </w:r>
      <w:r>
        <w:rPr>
          <w:rStyle w:val="FootnoteReference"/>
        </w:rPr>
        <w:footnoteReference w:id="35"/>
      </w:r>
      <w:r>
        <w:t xml:space="preserve"> </w:t>
      </w:r>
    </w:p>
    <w:p w14:paraId="5F4C62FB" w14:textId="77777777" w:rsidR="009B57A6" w:rsidRDefault="009B57A6" w:rsidP="009B57A6">
      <w:pPr>
        <w:pStyle w:val="ListParagraph"/>
        <w:numPr>
          <w:ilvl w:val="1"/>
          <w:numId w:val="2"/>
        </w:numPr>
        <w:spacing w:line="480" w:lineRule="auto"/>
        <w:jc w:val="both"/>
      </w:pPr>
      <w:r>
        <w:t>More than half of Black New Yorkers reported experiencing discrimination when applying for jobs and promotions.</w:t>
      </w:r>
      <w:r>
        <w:rPr>
          <w:rStyle w:val="FootnoteReference"/>
        </w:rPr>
        <w:footnoteReference w:id="36"/>
      </w:r>
    </w:p>
    <w:p w14:paraId="107E2568" w14:textId="77777777" w:rsidR="009B57A6" w:rsidRDefault="009B57A6" w:rsidP="009B57A6">
      <w:pPr>
        <w:pStyle w:val="ListParagraph"/>
        <w:spacing w:line="480" w:lineRule="auto"/>
        <w:ind w:left="2160"/>
        <w:jc w:val="both"/>
      </w:pPr>
    </w:p>
    <w:p w14:paraId="526DC1AD" w14:textId="77777777" w:rsidR="009B57A6" w:rsidRPr="00166D8D" w:rsidRDefault="009B57A6" w:rsidP="009B57A6">
      <w:pPr>
        <w:pStyle w:val="ListParagraph"/>
        <w:numPr>
          <w:ilvl w:val="1"/>
          <w:numId w:val="1"/>
        </w:numPr>
        <w:spacing w:line="480" w:lineRule="auto"/>
        <w:jc w:val="both"/>
        <w:rPr>
          <w:b/>
          <w:bCs/>
          <w:i/>
          <w:smallCaps/>
        </w:rPr>
      </w:pPr>
      <w:r>
        <w:rPr>
          <w:i/>
        </w:rPr>
        <w:t>Community Equity Priorities</w:t>
      </w:r>
    </w:p>
    <w:p w14:paraId="57ABDAD8" w14:textId="77777777" w:rsidR="009B57A6" w:rsidRDefault="009B57A6" w:rsidP="009B57A6">
      <w:pPr>
        <w:spacing w:line="480" w:lineRule="auto"/>
        <w:ind w:firstLine="720"/>
        <w:jc w:val="both"/>
      </w:pPr>
      <w:r>
        <w:t>On May 13, 2024, CORE published 16 draft Community Equity Priorities (CEPs) and began a community engagement process in order to solicit feedback on the draft CEPs from the general public, government partners, community organizations, and faith-based organizations.</w:t>
      </w:r>
      <w:r>
        <w:rPr>
          <w:rStyle w:val="FootnoteReference"/>
        </w:rPr>
        <w:footnoteReference w:id="37"/>
      </w:r>
      <w:r>
        <w:t xml:space="preserve"> The process involved multiple townhalls and public sessions, as well as a survey link for the public.</w:t>
      </w:r>
      <w:r>
        <w:rPr>
          <w:rStyle w:val="FootnoteReference"/>
        </w:rPr>
        <w:footnoteReference w:id="38"/>
      </w:r>
      <w:r>
        <w:t xml:space="preserve"> On November 20, 2024, CORE released its final list of 18 Community Equity Priorities.</w:t>
      </w:r>
      <w:r>
        <w:rPr>
          <w:rStyle w:val="FootnoteReference"/>
        </w:rPr>
        <w:footnoteReference w:id="39"/>
      </w:r>
      <w:r>
        <w:t xml:space="preserve"> The CEPs are divided under three fundamental values</w:t>
      </w:r>
      <w:r>
        <w:rPr>
          <w:rStyle w:val="FootnoteReference"/>
        </w:rPr>
        <w:footnoteReference w:id="40"/>
      </w:r>
      <w:r>
        <w:t xml:space="preserve"> derived from NYC’s charter as follows:</w:t>
      </w:r>
    </w:p>
    <w:p w14:paraId="76F777DE" w14:textId="77777777" w:rsidR="009B57A6" w:rsidRPr="00166D8D" w:rsidRDefault="009B57A6" w:rsidP="009B57A6">
      <w:pPr>
        <w:pStyle w:val="ListParagraph"/>
        <w:numPr>
          <w:ilvl w:val="0"/>
          <w:numId w:val="3"/>
        </w:numPr>
        <w:spacing w:line="480" w:lineRule="auto"/>
        <w:jc w:val="both"/>
        <w:rPr>
          <w:iCs/>
          <w:smallCaps/>
        </w:rPr>
      </w:pPr>
      <w:r>
        <w:t>Our government justly values all talents and contributions;</w:t>
      </w:r>
      <w:r>
        <w:rPr>
          <w:rStyle w:val="FootnoteReference"/>
        </w:rPr>
        <w:footnoteReference w:id="41"/>
      </w:r>
    </w:p>
    <w:p w14:paraId="0EBE72F7" w14:textId="77777777" w:rsidR="009B57A6" w:rsidRPr="00166D8D" w:rsidRDefault="009B57A6" w:rsidP="009B57A6">
      <w:pPr>
        <w:pStyle w:val="ListParagraph"/>
        <w:numPr>
          <w:ilvl w:val="0"/>
          <w:numId w:val="3"/>
        </w:numPr>
        <w:spacing w:line="480" w:lineRule="auto"/>
        <w:jc w:val="both"/>
        <w:rPr>
          <w:iCs/>
          <w:smallCaps/>
        </w:rPr>
      </w:pPr>
      <w:r>
        <w:t>Our government ensures the condition of thriving for every person;</w:t>
      </w:r>
      <w:r>
        <w:rPr>
          <w:rStyle w:val="FootnoteReference"/>
        </w:rPr>
        <w:footnoteReference w:id="42"/>
      </w:r>
    </w:p>
    <w:p w14:paraId="3B4D3630" w14:textId="77777777" w:rsidR="009B57A6" w:rsidRPr="0027598D" w:rsidRDefault="009B57A6" w:rsidP="009B57A6">
      <w:pPr>
        <w:pStyle w:val="ListParagraph"/>
        <w:numPr>
          <w:ilvl w:val="0"/>
          <w:numId w:val="3"/>
        </w:numPr>
        <w:spacing w:line="480" w:lineRule="auto"/>
        <w:jc w:val="both"/>
        <w:rPr>
          <w:iCs/>
          <w:smallCaps/>
        </w:rPr>
      </w:pPr>
      <w:r>
        <w:t>Our government embraces vigilance, remedy, and reconstruction.</w:t>
      </w:r>
      <w:r>
        <w:rPr>
          <w:rStyle w:val="FootnoteReference"/>
        </w:rPr>
        <w:footnoteReference w:id="43"/>
      </w:r>
    </w:p>
    <w:p w14:paraId="1C249BB8" w14:textId="77777777" w:rsidR="009B57A6" w:rsidRDefault="009B57A6" w:rsidP="009B57A6">
      <w:pPr>
        <w:spacing w:line="480" w:lineRule="auto"/>
        <w:jc w:val="both"/>
      </w:pPr>
      <w:r>
        <w:t xml:space="preserve">            These values were based on 3 outcome indicators: city workforce leadership, cost of living, and housing and business ownership.</w:t>
      </w:r>
      <w:r>
        <w:rPr>
          <w:rStyle w:val="FootnoteReference"/>
        </w:rPr>
        <w:footnoteReference w:id="44"/>
      </w:r>
      <w:r>
        <w:t xml:space="preserve"> CORE developed these indicators based on input from communities, city agencies, and information from the Mayor’s Management Report, in addition to equity reporting models from other cities.</w:t>
      </w:r>
      <w:r>
        <w:rPr>
          <w:rStyle w:val="FootnoteReference"/>
        </w:rPr>
        <w:footnoteReference w:id="45"/>
      </w:r>
      <w:r>
        <w:t xml:space="preserve"> MOERJ is mandated to incorporate these outcome indicators in its racial equity planning.</w:t>
      </w:r>
      <w:r>
        <w:rPr>
          <w:rStyle w:val="FootnoteReference"/>
        </w:rPr>
        <w:footnoteReference w:id="46"/>
      </w:r>
      <w:r>
        <w:t xml:space="preserve"> </w:t>
      </w:r>
    </w:p>
    <w:p w14:paraId="437691DF" w14:textId="77777777" w:rsidR="009B57A6" w:rsidRPr="00166D8D" w:rsidRDefault="009B57A6" w:rsidP="009B57A6">
      <w:pPr>
        <w:spacing w:line="480" w:lineRule="auto"/>
        <w:jc w:val="both"/>
        <w:rPr>
          <w:iCs/>
          <w:smallCaps/>
        </w:rPr>
      </w:pPr>
      <w:r>
        <w:tab/>
        <w:t>CORE believes that to meaningfully and effectively track inequities, these indicators should ideally be broken down by race, ethnicity, gender, sexual orientation, age, and disability</w:t>
      </w:r>
      <w:r>
        <w:rPr>
          <w:rStyle w:val="FootnoteReference"/>
        </w:rPr>
        <w:footnoteReference w:id="47"/>
      </w:r>
      <w:r>
        <w:t xml:space="preserve"> but state that inconsistent citywide data collection and sharing practices make it difficult to accurately measure and track outcome indicators using this demographic criteria.</w:t>
      </w:r>
      <w:r>
        <w:rPr>
          <w:rStyle w:val="FootnoteReference"/>
        </w:rPr>
        <w:footnoteReference w:id="48"/>
      </w:r>
      <w:r>
        <w:t xml:space="preserve"> Currently, CORE is in its second Community Engagement Cycle to finalize Community Equity Priorities for 2026.</w:t>
      </w:r>
      <w:r>
        <w:rPr>
          <w:rStyle w:val="FootnoteReference"/>
        </w:rPr>
        <w:footnoteReference w:id="49"/>
      </w:r>
    </w:p>
    <w:p w14:paraId="36C70269" w14:textId="77777777" w:rsidR="009B57A6" w:rsidRPr="00B2270F" w:rsidRDefault="009B57A6" w:rsidP="009B57A6">
      <w:pPr>
        <w:pStyle w:val="ListParagraph"/>
        <w:numPr>
          <w:ilvl w:val="1"/>
          <w:numId w:val="1"/>
        </w:numPr>
        <w:spacing w:line="480" w:lineRule="auto"/>
        <w:jc w:val="both"/>
        <w:rPr>
          <w:b/>
          <w:bCs/>
          <w:i/>
          <w:smallCaps/>
        </w:rPr>
      </w:pPr>
      <w:r w:rsidRPr="00D30185">
        <w:rPr>
          <w:i/>
        </w:rPr>
        <w:t>Racial Equity Planning</w:t>
      </w:r>
    </w:p>
    <w:p w14:paraId="0BB44D4A" w14:textId="77777777" w:rsidR="009B57A6" w:rsidRDefault="009B57A6" w:rsidP="009B57A6">
      <w:pPr>
        <w:spacing w:line="480" w:lineRule="auto"/>
        <w:ind w:firstLine="720"/>
        <w:jc w:val="both"/>
        <w:rPr>
          <w:color w:val="000000" w:themeColor="text1"/>
        </w:rPr>
      </w:pPr>
      <w:r>
        <w:t>The Racial Equity Planning process was voted into the City’s Charter in 2022, and is intended to ensure that city agencies’ racial equity priorities are clear, measurable, and supported by adequate resources.</w:t>
      </w:r>
      <w:r>
        <w:rPr>
          <w:rStyle w:val="FootnoteReference"/>
        </w:rPr>
        <w:footnoteReference w:id="50"/>
      </w:r>
      <w:r>
        <w:t xml:space="preserve"> </w:t>
      </w:r>
      <w:r>
        <w:rPr>
          <w:color w:val="000000" w:themeColor="text1"/>
        </w:rPr>
        <w:t>Pursuant to the 2022 amendments, t</w:t>
      </w:r>
      <w:r w:rsidRPr="00C80A5E">
        <w:rPr>
          <w:color w:val="000000" w:themeColor="text1"/>
        </w:rPr>
        <w:t>he Cha</w:t>
      </w:r>
      <w:r>
        <w:rPr>
          <w:color w:val="000000" w:themeColor="text1"/>
        </w:rPr>
        <w:t>rter requires</w:t>
      </w:r>
      <w:r w:rsidRPr="00C80A5E">
        <w:rPr>
          <w:color w:val="000000" w:themeColor="text1"/>
        </w:rPr>
        <w:t xml:space="preserve"> a </w:t>
      </w:r>
      <w:r>
        <w:rPr>
          <w:color w:val="000000" w:themeColor="text1"/>
        </w:rPr>
        <w:t>biennial “</w:t>
      </w:r>
      <w:r w:rsidRPr="00C80A5E">
        <w:rPr>
          <w:color w:val="000000" w:themeColor="text1"/>
        </w:rPr>
        <w:t>process of citywide and agency planning and reporting with a goal of eliminating racial inequity</w:t>
      </w:r>
      <w:r>
        <w:rPr>
          <w:color w:val="000000" w:themeColor="text1"/>
        </w:rPr>
        <w:t>.”</w:t>
      </w:r>
      <w:r>
        <w:rPr>
          <w:rStyle w:val="FootnoteReference"/>
          <w:color w:val="000000" w:themeColor="text1"/>
        </w:rPr>
        <w:footnoteReference w:id="51"/>
      </w:r>
      <w:r w:rsidRPr="00C80A5E">
        <w:rPr>
          <w:color w:val="000000" w:themeColor="text1"/>
        </w:rPr>
        <w:t xml:space="preserve"> </w:t>
      </w:r>
      <w:r>
        <w:rPr>
          <w:color w:val="000000" w:themeColor="text1"/>
        </w:rPr>
        <w:t xml:space="preserve">The process was conceived by the Racial Justice Commission (RJC) </w:t>
      </w:r>
      <w:r w:rsidRPr="00C80A5E">
        <w:rPr>
          <w:color w:val="000000" w:themeColor="text1"/>
        </w:rPr>
        <w:t xml:space="preserve">to require the </w:t>
      </w:r>
      <w:r>
        <w:rPr>
          <w:color w:val="000000" w:themeColor="text1"/>
        </w:rPr>
        <w:t xml:space="preserve">Mayor and agencies to collect data on and </w:t>
      </w:r>
      <w:r w:rsidRPr="007A31C3">
        <w:rPr>
          <w:color w:val="000000" w:themeColor="text1"/>
        </w:rPr>
        <w:t xml:space="preserve">analyze </w:t>
      </w:r>
      <w:r>
        <w:rPr>
          <w:color w:val="000000" w:themeColor="text1"/>
        </w:rPr>
        <w:t xml:space="preserve">racial and other gaps in </w:t>
      </w:r>
      <w:r w:rsidRPr="007A31C3">
        <w:rPr>
          <w:color w:val="000000" w:themeColor="text1"/>
        </w:rPr>
        <w:t xml:space="preserve">well-being </w:t>
      </w:r>
      <w:r>
        <w:rPr>
          <w:color w:val="000000" w:themeColor="text1"/>
        </w:rPr>
        <w:t xml:space="preserve">among </w:t>
      </w:r>
      <w:r w:rsidRPr="007A31C3">
        <w:rPr>
          <w:color w:val="000000" w:themeColor="text1"/>
        </w:rPr>
        <w:t>New Yorkers</w:t>
      </w:r>
      <w:r>
        <w:rPr>
          <w:color w:val="000000" w:themeColor="text1"/>
        </w:rPr>
        <w:t>.</w:t>
      </w:r>
      <w:r>
        <w:rPr>
          <w:rStyle w:val="FootnoteReference"/>
          <w:iCs/>
        </w:rPr>
        <w:footnoteReference w:id="52"/>
      </w:r>
      <w:r>
        <w:rPr>
          <w:color w:val="000000" w:themeColor="text1"/>
        </w:rPr>
        <w:t xml:space="preserve"> The planning process is meant to be synchronized with the annual budget process in order to promote spending that is aligned with community needs.</w:t>
      </w:r>
      <w:r>
        <w:rPr>
          <w:rStyle w:val="FootnoteReference"/>
          <w:color w:val="000000" w:themeColor="text1"/>
        </w:rPr>
        <w:footnoteReference w:id="53"/>
      </w:r>
      <w:r>
        <w:rPr>
          <w:color w:val="000000" w:themeColor="text1"/>
        </w:rPr>
        <w:t xml:space="preserve"> The Charter required that the first preliminary Racial Equity Plan, with measurable, agency-specific programs and policies, be delivered on January 16, 2024, and the final Citywide Racial Equity Plan on April 26, 2024.</w:t>
      </w:r>
      <w:r>
        <w:rPr>
          <w:rStyle w:val="FootnoteReference"/>
          <w:color w:val="000000" w:themeColor="text1"/>
        </w:rPr>
        <w:footnoteReference w:id="54"/>
      </w:r>
      <w:r>
        <w:rPr>
          <w:color w:val="000000" w:themeColor="text1"/>
        </w:rPr>
        <w:t xml:space="preserve"> The Charter requires that the Plan be updated and revised every two years going forward.</w:t>
      </w:r>
      <w:r>
        <w:rPr>
          <w:rStyle w:val="FootnoteReference"/>
          <w:color w:val="000000" w:themeColor="text1"/>
        </w:rPr>
        <w:footnoteReference w:id="55"/>
      </w:r>
    </w:p>
    <w:p w14:paraId="3C9181AB" w14:textId="626B1407" w:rsidR="009B57A6" w:rsidRPr="00016680" w:rsidRDefault="009B57A6" w:rsidP="00016680">
      <w:pPr>
        <w:spacing w:line="480" w:lineRule="auto"/>
        <w:ind w:firstLine="720"/>
        <w:jc w:val="both"/>
        <w:rPr>
          <w:color w:val="000000" w:themeColor="text1"/>
        </w:rPr>
      </w:pPr>
      <w:r w:rsidRPr="00B94B17">
        <w:t>Unfortunately, over three years after taking effect, the Charter’s budget accountability process has yet to be implemented. According to the Charter, on January 16, 2026, the Mayor and the Commissioner for Equity should have submitted their second biennial Racial Equity Plan (REP), accompanied by a Progress Report assessing city agencies’ progress toward the previous set of REPs, alongside the Mayor’s preliminary budget.</w:t>
      </w:r>
      <w:r w:rsidRPr="00B94B17">
        <w:rPr>
          <w:rStyle w:val="FootnoteReference"/>
        </w:rPr>
        <w:footnoteReference w:id="56"/>
      </w:r>
      <w:r w:rsidRPr="00B94B17">
        <w:t xml:space="preserve"> In reality, no REPs or Progress Reports have ever been issued. Meanwhile, CORE cannot fully perform its Charter mandate without a comprehensive, transparent, and measurable set of REPs to evaluate. As a result, New Yorkers are still waiting for the promises of the 2022 Charter to be fulfilled.</w:t>
      </w:r>
      <w:r>
        <w:t xml:space="preserve"> Since taking office in January 2026, Mayor Mamdani has set a goal of publishing a Racial Equity Plan within his first 100 days in office, creating a new deadline of April 10,</w:t>
      </w:r>
      <w:r>
        <w:rPr>
          <w:vertAlign w:val="superscript"/>
        </w:rPr>
        <w:t xml:space="preserve"> </w:t>
      </w:r>
      <w:r>
        <w:t>2026.</w:t>
      </w:r>
      <w:r>
        <w:rPr>
          <w:rStyle w:val="FootnoteReference"/>
        </w:rPr>
        <w:footnoteReference w:id="57"/>
      </w:r>
      <w:r>
        <w:t xml:space="preserve"> While publishing a plan ahead of this April deadline would achieve the Mayor’s goal, it still would come at an inopportune time within the City’s budget cycle, especially since it is too late for completion ahead of the publication of the preliminary Fiscal Year 2027 budget.</w:t>
      </w:r>
      <w:r>
        <w:rPr>
          <w:rStyle w:val="FootnoteReference"/>
        </w:rPr>
        <w:footnoteReference w:id="58"/>
      </w:r>
    </w:p>
    <w:p w14:paraId="35286439" w14:textId="77777777" w:rsidR="009B57A6" w:rsidRPr="00331C93" w:rsidRDefault="009B57A6" w:rsidP="009B57A6">
      <w:pPr>
        <w:pStyle w:val="ListParagraph"/>
        <w:numPr>
          <w:ilvl w:val="1"/>
          <w:numId w:val="1"/>
        </w:numPr>
        <w:spacing w:line="480" w:lineRule="auto"/>
        <w:jc w:val="both"/>
        <w:rPr>
          <w:i/>
        </w:rPr>
      </w:pPr>
      <w:r w:rsidRPr="00331C93">
        <w:rPr>
          <w:i/>
        </w:rPr>
        <w:t>Measuring the True Cost of Living</w:t>
      </w:r>
    </w:p>
    <w:p w14:paraId="6999B625" w14:textId="77777777" w:rsidR="009B57A6" w:rsidRPr="001D3DA4" w:rsidRDefault="009B57A6" w:rsidP="009B57A6">
      <w:pPr>
        <w:spacing w:line="480" w:lineRule="auto"/>
        <w:ind w:firstLine="720"/>
        <w:jc w:val="both"/>
        <w:rPr>
          <w:vertAlign w:val="superscript"/>
        </w:rPr>
      </w:pPr>
      <w:r>
        <w:t>In order to</w:t>
      </w:r>
      <w:r w:rsidRPr="001D3DA4">
        <w:t xml:space="preserve"> address issues of unaffordability and better understand the costs associated with life in the City, the</w:t>
      </w:r>
      <w:r>
        <w:t xml:space="preserve"> Charter now requires the City to</w:t>
      </w:r>
      <w:r w:rsidRPr="001D3DA4">
        <w:t xml:space="preserve"> measur</w:t>
      </w:r>
      <w:r>
        <w:t>e</w:t>
      </w:r>
      <w:r w:rsidRPr="001D3DA4">
        <w:t xml:space="preserve"> the true cost of living in New York City.</w:t>
      </w:r>
      <w:r w:rsidRPr="001D3DA4">
        <w:rPr>
          <w:rStyle w:val="FootnoteReference"/>
        </w:rPr>
        <w:footnoteReference w:id="59"/>
      </w:r>
      <w:r w:rsidRPr="001D3DA4">
        <w:t xml:space="preserve"> This</w:t>
      </w:r>
      <w:r>
        <w:t xml:space="preserve"> measure is designed to</w:t>
      </w:r>
      <w:r w:rsidRPr="001D3DA4">
        <w:t xml:space="preserve"> target inequities related to work, advancement, a</w:t>
      </w:r>
      <w:r>
        <w:t>nd building generational wealth</w:t>
      </w:r>
      <w:r w:rsidRPr="001D3DA4">
        <w:rPr>
          <w:rStyle w:val="FootnoteReference"/>
        </w:rPr>
        <w:footnoteReference w:id="60"/>
      </w:r>
      <w:r>
        <w:t xml:space="preserve"> by measuring “</w:t>
      </w:r>
      <w:r w:rsidRPr="00BC37E1">
        <w:t>the average amount necessary to cover the cost of essential needs at an adequate level, including, but not limited to, housing, childcare, child and dependent expenses, food, transportation, healthcare, clothing and shoes, menstrual products, general hygiene products, cleaning products, household items, telephone service, internet service, and other necessary costs, which could include costs such as tax obligations, without offsetting those costs through public assistance or private or informal assistance.</w:t>
      </w:r>
      <w:r>
        <w:t>”</w:t>
      </w:r>
      <w:r>
        <w:rPr>
          <w:rStyle w:val="FootnoteReference"/>
        </w:rPr>
        <w:footnoteReference w:id="61"/>
      </w:r>
      <w:r w:rsidRPr="001D3DA4">
        <w:t xml:space="preserve"> The RJC identified the high cost of living in New York City alongside proportionately lower wages for immigrants and women of color as one of the chief reasons that such individuals have difficulty gaining economic security.</w:t>
      </w:r>
      <w:r w:rsidRPr="001D3DA4">
        <w:rPr>
          <w:rStyle w:val="FootnoteReference"/>
        </w:rPr>
        <w:footnoteReference w:id="62"/>
      </w:r>
      <w:r w:rsidRPr="001D3DA4">
        <w:t xml:space="preserve"> However, according to the RJC, the current mechanisms used to measure cost of living are based on an outdated model that includes government assistance, thereby underestimating the true cost of living</w:t>
      </w:r>
      <w:r>
        <w:t>, obscuring the extent of economic inequity,</w:t>
      </w:r>
      <w:r w:rsidRPr="001D3DA4">
        <w:t xml:space="preserve"> and,</w:t>
      </w:r>
      <w:r>
        <w:t xml:space="preserve"> as a result,</w:t>
      </w:r>
      <w:r w:rsidRPr="001D3DA4">
        <w:t xml:space="preserve"> artificially depressing wages.</w:t>
      </w:r>
      <w:r w:rsidRPr="001D3DA4">
        <w:rPr>
          <w:rStyle w:val="FootnoteReference"/>
        </w:rPr>
        <w:footnoteReference w:id="63"/>
      </w:r>
      <w:r w:rsidRPr="007A31C3">
        <w:t xml:space="preserve"> </w:t>
      </w:r>
      <w:r>
        <w:t>The Charter amendment is designed to more accurately estimate the actual cost of living in the City.</w:t>
      </w:r>
      <w:r>
        <w:rPr>
          <w:rStyle w:val="FootnoteReference"/>
        </w:rPr>
        <w:footnoteReference w:id="64"/>
      </w:r>
    </w:p>
    <w:p w14:paraId="606C924B" w14:textId="40EC3E2A" w:rsidR="009B57A6" w:rsidRPr="00117CC2" w:rsidRDefault="009B57A6" w:rsidP="00016680">
      <w:pPr>
        <w:spacing w:line="480" w:lineRule="auto"/>
        <w:ind w:firstLine="720"/>
        <w:jc w:val="both"/>
      </w:pPr>
      <w:r w:rsidRPr="05521A5B">
        <w:t xml:space="preserve">In </w:t>
      </w:r>
      <w:r>
        <w:t>reflection of the RJC’s</w:t>
      </w:r>
      <w:r w:rsidRPr="05521A5B">
        <w:t xml:space="preserve"> findings, the</w:t>
      </w:r>
      <w:r>
        <w:t xml:space="preserve"> Charter now requires</w:t>
      </w:r>
      <w:r w:rsidRPr="05521A5B">
        <w:t xml:space="preserve"> </w:t>
      </w:r>
      <w:r>
        <w:t>that</w:t>
      </w:r>
      <w:r w:rsidRPr="05521A5B" w:rsidDel="00046704">
        <w:t xml:space="preserve"> </w:t>
      </w:r>
      <w:r w:rsidRPr="05521A5B">
        <w:t>the City develop and report a True Cost of Living measurement that would measure the household income necessary for a New Yorker to meet their essential needs.</w:t>
      </w:r>
      <w:r w:rsidRPr="05521A5B">
        <w:rPr>
          <w:rStyle w:val="FootnoteReference"/>
        </w:rPr>
        <w:footnoteReference w:id="65"/>
      </w:r>
      <w:r>
        <w:t xml:space="preserve"> This more accurate and inclusive cost of living metric</w:t>
      </w:r>
      <w:r w:rsidRPr="05521A5B">
        <w:t xml:space="preserve"> would enable policy makers to better understand poverty and could be utilized </w:t>
      </w:r>
      <w:r>
        <w:t xml:space="preserve">to improve policymaking and legislative efforts to address it, as well as </w:t>
      </w:r>
      <w:r w:rsidRPr="05521A5B">
        <w:t>for advocacy, labor negotiations</w:t>
      </w:r>
      <w:r>
        <w:t>,</w:t>
      </w:r>
      <w:r w:rsidRPr="05521A5B">
        <w:t xml:space="preserve"> and </w:t>
      </w:r>
      <w:r>
        <w:t xml:space="preserve">to better calibrate </w:t>
      </w:r>
      <w:r w:rsidRPr="05521A5B">
        <w:t>eligibility stan</w:t>
      </w:r>
      <w:r>
        <w:t>dards for programs and benefits</w:t>
      </w:r>
      <w:r w:rsidRPr="05521A5B">
        <w:t>.</w:t>
      </w:r>
      <w:r w:rsidRPr="05521A5B">
        <w:rPr>
          <w:rStyle w:val="FootnoteReference"/>
        </w:rPr>
        <w:footnoteReference w:id="66"/>
      </w:r>
    </w:p>
    <w:p w14:paraId="40352FD9" w14:textId="77777777" w:rsidR="009B57A6" w:rsidRPr="00F90303" w:rsidRDefault="009B57A6" w:rsidP="009B57A6">
      <w:pPr>
        <w:pStyle w:val="ListParagraph"/>
        <w:numPr>
          <w:ilvl w:val="0"/>
          <w:numId w:val="1"/>
        </w:numPr>
        <w:spacing w:line="480" w:lineRule="auto"/>
        <w:jc w:val="both"/>
        <w:rPr>
          <w:b/>
          <w:bCs/>
          <w:smallCaps/>
        </w:rPr>
      </w:pPr>
      <w:r w:rsidRPr="00F90303">
        <w:rPr>
          <w:b/>
          <w:bCs/>
          <w:smallCaps/>
        </w:rPr>
        <w:t>Conclusion</w:t>
      </w:r>
    </w:p>
    <w:p w14:paraId="53796130" w14:textId="77777777" w:rsidR="009B57A6" w:rsidRDefault="009B57A6" w:rsidP="009B57A6">
      <w:pPr>
        <w:spacing w:line="480" w:lineRule="auto"/>
        <w:ind w:firstLine="720"/>
        <w:jc w:val="both"/>
        <w:rPr>
          <w:rStyle w:val="ui-provider"/>
          <w:rFonts w:eastAsiaTheme="majorEastAsia"/>
        </w:rPr>
      </w:pPr>
      <w:r w:rsidRPr="05521A5B">
        <w:t>At today’s hearing, the Committee is</w:t>
      </w:r>
      <w:r>
        <w:t xml:space="preserve"> looking to engage with the administration and public in meaningful discussion about the circumstances and systemic factors that contribute to the ongoing inequities that many New Yorkers face. In addition to identifying current challenges and hardships, the Committee would also like to highlight and hear about any recent advancements and efforts made toward completing the overdue Racial Equity Plan and how agencies are considering equity when servicing New Yorkers as well as when engaging in the City’s budget process. </w:t>
      </w:r>
    </w:p>
    <w:p w14:paraId="7292419B" w14:textId="77777777" w:rsidR="009B57A6" w:rsidRDefault="009B57A6" w:rsidP="009B57A6">
      <w:pPr>
        <w:jc w:val="both"/>
      </w:pPr>
    </w:p>
    <w:p w14:paraId="5BABAAC5" w14:textId="77777777" w:rsidR="00923FE8" w:rsidRDefault="00923FE8"/>
    <w:sectPr w:rsidR="00923FE8" w:rsidSect="009B57A6">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89DEF" w14:textId="77777777" w:rsidR="00FB4904" w:rsidRDefault="00FB4904" w:rsidP="009B57A6">
      <w:r>
        <w:separator/>
      </w:r>
    </w:p>
  </w:endnote>
  <w:endnote w:type="continuationSeparator" w:id="0">
    <w:p w14:paraId="2EBC738A" w14:textId="77777777" w:rsidR="00FB4904" w:rsidRDefault="00FB4904" w:rsidP="009B5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A373D" w14:textId="77777777" w:rsidR="009B57A6" w:rsidRDefault="009B57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52047" w14:textId="77777777" w:rsidR="009B57A6" w:rsidRDefault="009B57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7A46" w14:textId="77777777" w:rsidR="009B57A6" w:rsidRDefault="009B57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ABE21" w14:textId="77777777" w:rsidR="00FB4904" w:rsidRDefault="00FB4904" w:rsidP="009B57A6">
      <w:r>
        <w:separator/>
      </w:r>
    </w:p>
  </w:footnote>
  <w:footnote w:type="continuationSeparator" w:id="0">
    <w:p w14:paraId="401186FB" w14:textId="77777777" w:rsidR="00FB4904" w:rsidRDefault="00FB4904" w:rsidP="009B57A6">
      <w:r>
        <w:continuationSeparator/>
      </w:r>
    </w:p>
  </w:footnote>
  <w:footnote w:id="1">
    <w:p w14:paraId="79944B95" w14:textId="77777777" w:rsidR="009B57A6" w:rsidRDefault="009B57A6" w:rsidP="009B57A6">
      <w:pPr>
        <w:pStyle w:val="FootnoteText"/>
      </w:pPr>
      <w:r>
        <w:rPr>
          <w:rStyle w:val="FootnoteReference"/>
        </w:rPr>
        <w:footnoteRef/>
      </w:r>
      <w:r>
        <w:t xml:space="preserve"> </w:t>
      </w:r>
      <w:r w:rsidRPr="00CF580F">
        <w:rPr>
          <w:i/>
          <w:sz w:val="18"/>
          <w:szCs w:val="18"/>
        </w:rPr>
        <w:t>The Racial Wealth Gap in New York</w:t>
      </w:r>
      <w:r w:rsidRPr="00CF580F">
        <w:rPr>
          <w:sz w:val="18"/>
          <w:szCs w:val="18"/>
        </w:rPr>
        <w:t>, Office of the New York City Comptroller (2023). Available at: https://comptroller.nyc.gov/reports/the-racial-wealth-gap-in-new-york/</w:t>
      </w:r>
    </w:p>
  </w:footnote>
  <w:footnote w:id="2">
    <w:p w14:paraId="49247A28" w14:textId="77777777" w:rsidR="009B57A6" w:rsidRDefault="009B57A6" w:rsidP="009B57A6">
      <w:pPr>
        <w:pStyle w:val="FootnoteText"/>
      </w:pPr>
      <w:r>
        <w:rPr>
          <w:rStyle w:val="FootnoteReference"/>
        </w:rPr>
        <w:footnoteRef/>
      </w:r>
      <w:r>
        <w:t xml:space="preserve"> </w:t>
      </w:r>
      <w:r w:rsidRPr="00CF580F">
        <w:rPr>
          <w:i/>
          <w:sz w:val="18"/>
          <w:szCs w:val="18"/>
        </w:rPr>
        <w:t>The Racial Wealth Gap in New York</w:t>
      </w:r>
      <w:r w:rsidRPr="00CF580F">
        <w:rPr>
          <w:sz w:val="18"/>
          <w:szCs w:val="18"/>
        </w:rPr>
        <w:t>, Office of the New York City Comptroller (2023). Available at: https://comptroller.nyc.gov/reports/the-racial-wealth-gap-in-new-york/</w:t>
      </w:r>
    </w:p>
  </w:footnote>
  <w:footnote w:id="3">
    <w:p w14:paraId="176F2115" w14:textId="77777777" w:rsidR="009B57A6" w:rsidRPr="000E5A4E" w:rsidRDefault="009B57A6" w:rsidP="009B57A6">
      <w:pPr>
        <w:pStyle w:val="FootnoteText"/>
      </w:pPr>
      <w:r>
        <w:rPr>
          <w:rStyle w:val="FootnoteReference"/>
        </w:rPr>
        <w:footnoteRef/>
      </w:r>
      <w:r>
        <w:t xml:space="preserve"> </w:t>
      </w:r>
      <w:r w:rsidRPr="00CF580F">
        <w:rPr>
          <w:i/>
          <w:sz w:val="18"/>
          <w:szCs w:val="18"/>
        </w:rPr>
        <w:t>The Racial Wealth Gap in New York</w:t>
      </w:r>
      <w:r w:rsidRPr="00CF580F">
        <w:rPr>
          <w:sz w:val="18"/>
          <w:szCs w:val="18"/>
        </w:rPr>
        <w:t>, Office of the New York City Comptroller (2023). Available at: https://comptroller.nyc.gov/reports/the-racial-wealth-gap-in-new-york/</w:t>
      </w:r>
    </w:p>
  </w:footnote>
  <w:footnote w:id="4">
    <w:p w14:paraId="1D54E039" w14:textId="77777777" w:rsidR="009B57A6" w:rsidRDefault="009B57A6" w:rsidP="009B57A6">
      <w:pPr>
        <w:pStyle w:val="FootnoteText"/>
      </w:pPr>
      <w:r>
        <w:rPr>
          <w:rStyle w:val="FootnoteReference"/>
        </w:rPr>
        <w:footnoteRef/>
      </w:r>
      <w:r>
        <w:t xml:space="preserve"> </w:t>
      </w:r>
      <w:r w:rsidRPr="00E52097">
        <w:rPr>
          <w:sz w:val="18"/>
          <w:szCs w:val="18"/>
        </w:rPr>
        <w:t>According to the Consumer Financial Protection Bureau, redlining is defined as an illegal practice where people living in a certain or neighborhood are not given the same access to loans and other credit services as people in other areas or neighborhoods on the basis of race, color, national origin or some other prohibited reason, regardless of their ability to repay their loan.</w:t>
      </w:r>
    </w:p>
  </w:footnote>
  <w:footnote w:id="5">
    <w:p w14:paraId="5C2AAA05" w14:textId="77777777" w:rsidR="009B57A6" w:rsidRDefault="009B57A6" w:rsidP="009B57A6">
      <w:pPr>
        <w:pStyle w:val="FootnoteText"/>
      </w:pPr>
      <w:r>
        <w:rPr>
          <w:rStyle w:val="FootnoteReference"/>
        </w:rPr>
        <w:footnoteRef/>
      </w:r>
      <w:r>
        <w:t xml:space="preserve"> </w:t>
      </w:r>
      <w:r w:rsidRPr="000E5A4E">
        <w:t>https://www.americanprogress</w:t>
      </w:r>
      <w:r w:rsidRPr="00C701EB">
        <w:t>.org/article/systemic-inequality-displacement-exclusion-segregation/</w:t>
      </w:r>
    </w:p>
  </w:footnote>
  <w:footnote w:id="6">
    <w:p w14:paraId="6BC96E4F" w14:textId="77777777" w:rsidR="009B57A6" w:rsidRDefault="009B57A6" w:rsidP="009B57A6">
      <w:pPr>
        <w:pStyle w:val="FootnoteText"/>
      </w:pPr>
      <w:r>
        <w:rPr>
          <w:rStyle w:val="FootnoteReference"/>
        </w:rPr>
        <w:footnoteRef/>
      </w:r>
      <w:r>
        <w:t xml:space="preserve"> </w:t>
      </w:r>
      <w:r w:rsidRPr="003115F1">
        <w:rPr>
          <w:i/>
          <w:sz w:val="18"/>
          <w:szCs w:val="18"/>
        </w:rPr>
        <w:t>A brief history of redlining</w:t>
      </w:r>
      <w:r w:rsidRPr="00E52097">
        <w:rPr>
          <w:sz w:val="18"/>
          <w:szCs w:val="18"/>
        </w:rPr>
        <w:t xml:space="preserve">, Environmental and Health Data Portal, NYC.gov. Available at: </w:t>
      </w:r>
      <w:hyperlink r:id="rId1" w:history="1">
        <w:r w:rsidRPr="00E52097">
          <w:rPr>
            <w:rStyle w:val="Hyperlink"/>
            <w:rFonts w:eastAsiaTheme="majorEastAsia"/>
            <w:sz w:val="18"/>
            <w:szCs w:val="18"/>
          </w:rPr>
          <w:t>https://a816-dohbesp.nyc.gov/IndicatorPublic/data-stories/redlining/</w:t>
        </w:r>
      </w:hyperlink>
    </w:p>
  </w:footnote>
  <w:footnote w:id="7">
    <w:p w14:paraId="2999CD81" w14:textId="77777777" w:rsidR="009B57A6" w:rsidRDefault="009B57A6" w:rsidP="009B57A6">
      <w:pPr>
        <w:pStyle w:val="FootnoteText"/>
      </w:pPr>
      <w:r>
        <w:rPr>
          <w:rStyle w:val="FootnoteReference"/>
        </w:rPr>
        <w:footnoteRef/>
      </w:r>
      <w:r>
        <w:t xml:space="preserve"> </w:t>
      </w:r>
      <w:r w:rsidRPr="003115F1">
        <w:rPr>
          <w:i/>
          <w:sz w:val="18"/>
          <w:szCs w:val="18"/>
        </w:rPr>
        <w:t>A brief history of redlining</w:t>
      </w:r>
      <w:r w:rsidRPr="00E52097">
        <w:rPr>
          <w:sz w:val="18"/>
          <w:szCs w:val="18"/>
        </w:rPr>
        <w:t xml:space="preserve">, Environmental and Health Data Portal, NYC.gov. Available at: </w:t>
      </w:r>
      <w:hyperlink r:id="rId2" w:history="1">
        <w:r w:rsidRPr="00E52097">
          <w:rPr>
            <w:rStyle w:val="Hyperlink"/>
            <w:rFonts w:eastAsiaTheme="majorEastAsia"/>
            <w:sz w:val="18"/>
            <w:szCs w:val="18"/>
          </w:rPr>
          <w:t>https://a816-dohbesp.nyc.gov/IndicatorPublic/data-stories/redlining/</w:t>
        </w:r>
      </w:hyperlink>
    </w:p>
  </w:footnote>
  <w:footnote w:id="8">
    <w:p w14:paraId="0C6D8AA2" w14:textId="77777777" w:rsidR="009B57A6" w:rsidRDefault="009B57A6" w:rsidP="009B57A6">
      <w:pPr>
        <w:pStyle w:val="FootnoteText"/>
      </w:pPr>
      <w:r>
        <w:rPr>
          <w:rStyle w:val="FootnoteReference"/>
        </w:rPr>
        <w:footnoteRef/>
      </w:r>
      <w:r>
        <w:t xml:space="preserve"> </w:t>
      </w:r>
      <w:r w:rsidRPr="003115F1">
        <w:rPr>
          <w:sz w:val="18"/>
          <w:szCs w:val="18"/>
        </w:rPr>
        <w:t xml:space="preserve">Lathan, Nadia, </w:t>
      </w:r>
      <w:r w:rsidRPr="003115F1">
        <w:rPr>
          <w:i/>
          <w:sz w:val="18"/>
          <w:szCs w:val="18"/>
        </w:rPr>
        <w:t>50 Years after being outlawed, redlining still drives neighborhood health inequities</w:t>
      </w:r>
      <w:r w:rsidRPr="003115F1">
        <w:rPr>
          <w:sz w:val="18"/>
          <w:szCs w:val="18"/>
        </w:rPr>
        <w:t xml:space="preserve">, UC Berkeley School of Public Health (Sept 2023). Available at: </w:t>
      </w:r>
      <w:hyperlink r:id="rId3" w:history="1">
        <w:r w:rsidRPr="003115F1">
          <w:rPr>
            <w:rStyle w:val="Hyperlink"/>
            <w:rFonts w:eastAsiaTheme="majorEastAsia"/>
            <w:sz w:val="18"/>
            <w:szCs w:val="18"/>
          </w:rPr>
          <w:t>https://publichealth.berkeley.edu/news-media/research-highlights/50-years-after-being-outlawed-redlining-still-drives-neighborhood-health-inequities</w:t>
        </w:r>
      </w:hyperlink>
      <w:r>
        <w:t xml:space="preserve"> </w:t>
      </w:r>
    </w:p>
  </w:footnote>
  <w:footnote w:id="9">
    <w:p w14:paraId="616C283D" w14:textId="77777777" w:rsidR="009B57A6" w:rsidRDefault="009B57A6" w:rsidP="009B57A6">
      <w:pPr>
        <w:pStyle w:val="FootnoteText"/>
      </w:pPr>
      <w:r>
        <w:rPr>
          <w:rStyle w:val="FootnoteReference"/>
        </w:rPr>
        <w:footnoteRef/>
      </w:r>
      <w:r w:rsidRPr="003115F1">
        <w:rPr>
          <w:sz w:val="18"/>
          <w:szCs w:val="18"/>
        </w:rPr>
        <w:t xml:space="preserve">Mitchell, Bruce and Franco, Juan, </w:t>
      </w:r>
      <w:r w:rsidRPr="003115F1">
        <w:rPr>
          <w:i/>
          <w:sz w:val="18"/>
          <w:szCs w:val="18"/>
        </w:rPr>
        <w:t>HOLC “Redlining” Maps: The Persistent Structure Of Segregation and Economic Inequality</w:t>
      </w:r>
      <w:r w:rsidRPr="003115F1">
        <w:rPr>
          <w:sz w:val="18"/>
          <w:szCs w:val="18"/>
        </w:rPr>
        <w:t>, National Community Reinvestment Coalition (Mar 2018). Available at: https://ncrc.org/holc/</w:t>
      </w:r>
    </w:p>
  </w:footnote>
  <w:footnote w:id="10">
    <w:p w14:paraId="0D509FA1" w14:textId="77777777" w:rsidR="009B57A6" w:rsidRDefault="009B57A6" w:rsidP="009B57A6">
      <w:pPr>
        <w:pStyle w:val="FootnoteText"/>
      </w:pPr>
      <w:r>
        <w:rPr>
          <w:rStyle w:val="FootnoteReference"/>
        </w:rPr>
        <w:footnoteRef/>
      </w:r>
      <w:r>
        <w:t xml:space="preserve"> </w:t>
      </w:r>
      <w:r w:rsidRPr="00E52097">
        <w:rPr>
          <w:i/>
          <w:sz w:val="18"/>
          <w:szCs w:val="18"/>
        </w:rPr>
        <w:t>A brief history of redlining</w:t>
      </w:r>
      <w:r w:rsidRPr="00E52097">
        <w:rPr>
          <w:sz w:val="18"/>
          <w:szCs w:val="18"/>
        </w:rPr>
        <w:t xml:space="preserve">, Environmental and Health Data Portal, NYC.gov. Available at: </w:t>
      </w:r>
      <w:hyperlink r:id="rId4" w:history="1">
        <w:r w:rsidRPr="00E52097">
          <w:rPr>
            <w:rStyle w:val="Hyperlink"/>
            <w:rFonts w:eastAsiaTheme="majorEastAsia"/>
            <w:sz w:val="18"/>
            <w:szCs w:val="18"/>
          </w:rPr>
          <w:t>https://a816-dohbesp.nyc.gov/IndicatorPublic/data-stories/redlining/</w:t>
        </w:r>
      </w:hyperlink>
    </w:p>
  </w:footnote>
  <w:footnote w:id="11">
    <w:p w14:paraId="69089371" w14:textId="77777777" w:rsidR="009B57A6" w:rsidRDefault="009B57A6" w:rsidP="009B57A6">
      <w:pPr>
        <w:pStyle w:val="FootnoteText"/>
      </w:pPr>
      <w:r>
        <w:rPr>
          <w:rStyle w:val="FootnoteReference"/>
        </w:rPr>
        <w:footnoteRef/>
      </w:r>
      <w:r>
        <w:t xml:space="preserve"> </w:t>
      </w:r>
      <w:r w:rsidRPr="003115F1">
        <w:rPr>
          <w:sz w:val="18"/>
          <w:szCs w:val="18"/>
        </w:rPr>
        <w:t>Egede, Leonard</w:t>
      </w:r>
      <w:r>
        <w:rPr>
          <w:sz w:val="18"/>
          <w:szCs w:val="18"/>
        </w:rPr>
        <w:t xml:space="preserve">, et al., </w:t>
      </w:r>
      <w:r w:rsidRPr="003115F1">
        <w:rPr>
          <w:i/>
          <w:sz w:val="18"/>
          <w:szCs w:val="18"/>
        </w:rPr>
        <w:t>Modern Day Consequences of Historic Redlining: Finding a Path Forward</w:t>
      </w:r>
      <w:r>
        <w:rPr>
          <w:sz w:val="18"/>
          <w:szCs w:val="18"/>
        </w:rPr>
        <w:t xml:space="preserve">, National Library of Medicine (Feb 2023). Available at: </w:t>
      </w:r>
      <w:hyperlink r:id="rId5" w:history="1">
        <w:r w:rsidRPr="004B4B35">
          <w:rPr>
            <w:rStyle w:val="Hyperlink"/>
            <w:rFonts w:eastAsiaTheme="majorEastAsia"/>
            <w:sz w:val="18"/>
            <w:szCs w:val="18"/>
          </w:rPr>
          <w:t>https://pmc.ncbi.nlm.nih.gov/articles/PMC9901820/</w:t>
        </w:r>
      </w:hyperlink>
      <w:r>
        <w:rPr>
          <w:sz w:val="18"/>
          <w:szCs w:val="18"/>
        </w:rPr>
        <w:t xml:space="preserve"> </w:t>
      </w:r>
    </w:p>
  </w:footnote>
  <w:footnote w:id="12">
    <w:p w14:paraId="1E3F7551" w14:textId="36A1FC0C" w:rsidR="00E65F15" w:rsidRDefault="00E65F15">
      <w:pPr>
        <w:pStyle w:val="FootnoteText"/>
      </w:pPr>
      <w:r>
        <w:rPr>
          <w:rStyle w:val="FootnoteReference"/>
        </w:rPr>
        <w:footnoteRef/>
      </w:r>
      <w:r>
        <w:t xml:space="preserve"> </w:t>
      </w:r>
      <w:r w:rsidR="00016680" w:rsidRPr="001002B7">
        <w:t xml:space="preserve">Grace Chen, </w:t>
      </w:r>
      <w:r w:rsidR="00016680" w:rsidRPr="001002B7">
        <w:rPr>
          <w:i/>
          <w:iCs/>
        </w:rPr>
        <w:t>NYC Schools Still Most Segregated in 2025</w:t>
      </w:r>
      <w:r w:rsidR="00016680" w:rsidRPr="001002B7">
        <w:t xml:space="preserve">, </w:t>
      </w:r>
      <w:r w:rsidR="00016680" w:rsidRPr="001002B7">
        <w:rPr>
          <w:i/>
          <w:iCs/>
        </w:rPr>
        <w:t>Public School Review Blog</w:t>
      </w:r>
      <w:r w:rsidR="00016680" w:rsidRPr="001002B7">
        <w:t xml:space="preserve"> (Dec. 3, 2025), </w:t>
      </w:r>
      <w:hyperlink r:id="rId6" w:tgtFrame="_new" w:history="1">
        <w:r w:rsidR="00016680" w:rsidRPr="001002B7">
          <w:rPr>
            <w:rStyle w:val="Hyperlink"/>
          </w:rPr>
          <w:t>https://www.publicschoolreview.com/blog/nyc-schools-still-most-segregated-in-2025</w:t>
        </w:r>
      </w:hyperlink>
      <w:r w:rsidR="00016680" w:rsidRPr="001002B7">
        <w:t xml:space="preserve"> (updated December 3, 2025).</w:t>
      </w:r>
    </w:p>
  </w:footnote>
  <w:footnote w:id="13">
    <w:p w14:paraId="6FB70345" w14:textId="478EA30F" w:rsidR="00E65F15" w:rsidRDefault="00E65F15">
      <w:pPr>
        <w:pStyle w:val="FootnoteText"/>
      </w:pPr>
      <w:r>
        <w:rPr>
          <w:rStyle w:val="FootnoteReference"/>
        </w:rPr>
        <w:footnoteRef/>
      </w:r>
      <w:r>
        <w:t xml:space="preserve"> </w:t>
      </w:r>
      <w:r w:rsidR="001002B7" w:rsidRPr="001002B7">
        <w:t xml:space="preserve">Grace Chen, </w:t>
      </w:r>
      <w:r w:rsidR="001002B7" w:rsidRPr="001002B7">
        <w:rPr>
          <w:i/>
          <w:iCs/>
        </w:rPr>
        <w:t>NYC Schools Still Most Segregated in 2025</w:t>
      </w:r>
      <w:r w:rsidR="001002B7" w:rsidRPr="001002B7">
        <w:t xml:space="preserve">, </w:t>
      </w:r>
      <w:r w:rsidR="001002B7" w:rsidRPr="001002B7">
        <w:rPr>
          <w:i/>
          <w:iCs/>
        </w:rPr>
        <w:t>Public School Review Blog</w:t>
      </w:r>
      <w:r w:rsidR="001002B7" w:rsidRPr="001002B7">
        <w:t xml:space="preserve"> (Dec. 3, 2025), </w:t>
      </w:r>
      <w:hyperlink r:id="rId7" w:tgtFrame="_new" w:history="1">
        <w:r w:rsidR="001002B7" w:rsidRPr="001002B7">
          <w:rPr>
            <w:rStyle w:val="Hyperlink"/>
          </w:rPr>
          <w:t>https://www.publicschoolreview.com/blog/nyc-schools-still-most-segregated-in-2025</w:t>
        </w:r>
      </w:hyperlink>
      <w:r w:rsidR="001002B7" w:rsidRPr="001002B7">
        <w:t xml:space="preserve"> (updated December 3, 2025).</w:t>
      </w:r>
    </w:p>
  </w:footnote>
  <w:footnote w:id="14">
    <w:p w14:paraId="3654D81F" w14:textId="1A94EDDE" w:rsidR="001002B7" w:rsidRPr="00016680" w:rsidRDefault="001002B7">
      <w:pPr>
        <w:pStyle w:val="FootnoteText"/>
        <w:rPr>
          <w:i/>
          <w:iCs/>
        </w:rPr>
      </w:pPr>
      <w:r>
        <w:rPr>
          <w:rStyle w:val="FootnoteReference"/>
        </w:rPr>
        <w:footnoteRef/>
      </w:r>
      <w:r>
        <w:t xml:space="preserve"> </w:t>
      </w:r>
      <w:r w:rsidR="00016680" w:rsidRPr="001002B7">
        <w:t xml:space="preserve">Grace Chen, </w:t>
      </w:r>
      <w:r w:rsidR="00016680" w:rsidRPr="001002B7">
        <w:rPr>
          <w:i/>
          <w:iCs/>
        </w:rPr>
        <w:t>NYC Schools Still Most Segregated in 2025</w:t>
      </w:r>
      <w:r w:rsidR="00016680" w:rsidRPr="001002B7">
        <w:t xml:space="preserve">, </w:t>
      </w:r>
      <w:r w:rsidR="00016680" w:rsidRPr="001002B7">
        <w:rPr>
          <w:i/>
          <w:iCs/>
        </w:rPr>
        <w:t>Public School Review Blog</w:t>
      </w:r>
      <w:r w:rsidR="00016680" w:rsidRPr="001002B7">
        <w:t xml:space="preserve"> (Dec. 3, 2025), </w:t>
      </w:r>
      <w:hyperlink r:id="rId8" w:tgtFrame="_new" w:history="1">
        <w:r w:rsidR="00016680" w:rsidRPr="001002B7">
          <w:rPr>
            <w:rStyle w:val="Hyperlink"/>
          </w:rPr>
          <w:t>https://www.publicschoolreview.com/blog/nyc-schools-still-most-segregated-in-2025</w:t>
        </w:r>
      </w:hyperlink>
      <w:r w:rsidR="00016680" w:rsidRPr="001002B7">
        <w:t xml:space="preserve"> (updated December 3, 2025).</w:t>
      </w:r>
    </w:p>
  </w:footnote>
  <w:footnote w:id="15">
    <w:p w14:paraId="1FED6502" w14:textId="7F097A5F" w:rsidR="009B57A6" w:rsidRDefault="009B57A6" w:rsidP="009B57A6">
      <w:pPr>
        <w:pStyle w:val="FootnoteText"/>
      </w:pPr>
      <w:r>
        <w:rPr>
          <w:rStyle w:val="FootnoteReference"/>
        </w:rPr>
        <w:footnoteRef/>
      </w:r>
      <w:r w:rsidRPr="00A04F49">
        <w:t xml:space="preserve">Gallegos, Emma, ‘Exceptional’ barriers stop Black students from succeeding in higher ed, edsource.org (Feb 2023). Available at: </w:t>
      </w:r>
      <w:hyperlink r:id="rId9" w:anchor=":~:text=Black%20students%20are%20less%20likely,enrolling%20in%20the%20first%20place" w:history="1">
        <w:r w:rsidRPr="00461495">
          <w:rPr>
            <w:rStyle w:val="Hyperlink"/>
          </w:rPr>
          <w:t>https://edsource.org/updates/exceptional-barriers-stop-black-students-from-succeeding-in-higher-ed#:~:text=Black%20students%20are%20less%20likely,enrolling%20in%20the%20first%20place</w:t>
        </w:r>
      </w:hyperlink>
      <w:r>
        <w:t xml:space="preserve">; CGTN America, </w:t>
      </w:r>
      <w:r w:rsidRPr="009B57A6">
        <w:t>Inside New York's School System Divide</w:t>
      </w:r>
      <w:r>
        <w:t>, Aug. 14, 2025,</w:t>
      </w:r>
      <w:r w:rsidRPr="009B57A6">
        <w:t xml:space="preserve"> https://www.youtube.com/watch?v=L1CK1lIuJVg</w:t>
      </w:r>
      <w:r w:rsidRPr="00A04F49">
        <w:t>.</w:t>
      </w:r>
    </w:p>
  </w:footnote>
  <w:footnote w:id="16">
    <w:p w14:paraId="7148D311" w14:textId="77777777" w:rsidR="009B57A6" w:rsidRPr="00A04F49" w:rsidRDefault="009B57A6" w:rsidP="009B57A6">
      <w:pPr>
        <w:pStyle w:val="FootnoteText"/>
        <w:rPr>
          <w:sz w:val="18"/>
          <w:szCs w:val="18"/>
        </w:rPr>
      </w:pPr>
      <w:r>
        <w:rPr>
          <w:rStyle w:val="FootnoteReference"/>
        </w:rPr>
        <w:footnoteRef/>
      </w:r>
      <w:r>
        <w:t xml:space="preserve"> </w:t>
      </w:r>
      <w:r w:rsidRPr="00A04F49">
        <w:rPr>
          <w:sz w:val="18"/>
          <w:szCs w:val="18"/>
        </w:rPr>
        <w:t xml:space="preserve">Jones, Adia, ‘Achievement gap’ is rooted in systemic racism, The </w:t>
      </w:r>
      <w:proofErr w:type="spellStart"/>
      <w:r w:rsidRPr="00A04F49">
        <w:rPr>
          <w:sz w:val="18"/>
          <w:szCs w:val="18"/>
        </w:rPr>
        <w:t>Gainsville</w:t>
      </w:r>
      <w:proofErr w:type="spellEnd"/>
      <w:r w:rsidRPr="00A04F49">
        <w:rPr>
          <w:sz w:val="18"/>
          <w:szCs w:val="18"/>
        </w:rPr>
        <w:t xml:space="preserve"> Sun (June 2021). Available at: https://www.gainesville.com/story/opinion/2021/06/22/adia-jones-achievement-gap-rooted-systemic-racism/7715257002/</w:t>
      </w:r>
    </w:p>
  </w:footnote>
  <w:footnote w:id="17">
    <w:p w14:paraId="11D62F1C" w14:textId="77777777" w:rsidR="009B57A6" w:rsidRPr="000629DD" w:rsidRDefault="009B57A6" w:rsidP="009B57A6">
      <w:pPr>
        <w:pStyle w:val="FootnoteText"/>
      </w:pPr>
      <w:r w:rsidRPr="000629DD">
        <w:rPr>
          <w:rStyle w:val="FootnoteReference"/>
        </w:rPr>
        <w:footnoteRef/>
      </w:r>
      <w:r w:rsidRPr="000629DD">
        <w:t xml:space="preserve"> https://comptroller.nyc.gov/reports/the-racial-wealth-gap-in-new-york/</w:t>
      </w:r>
    </w:p>
  </w:footnote>
  <w:footnote w:id="18">
    <w:p w14:paraId="60DA096E" w14:textId="77777777" w:rsidR="009B57A6" w:rsidRPr="003115F1" w:rsidRDefault="009B57A6" w:rsidP="009B57A6">
      <w:pPr>
        <w:pStyle w:val="FootnoteText"/>
        <w:rPr>
          <w:sz w:val="18"/>
          <w:szCs w:val="18"/>
        </w:rPr>
      </w:pPr>
      <w:r>
        <w:rPr>
          <w:rStyle w:val="FootnoteReference"/>
        </w:rPr>
        <w:footnoteRef/>
      </w:r>
      <w:r>
        <w:t xml:space="preserve"> </w:t>
      </w:r>
      <w:r w:rsidRPr="003115F1">
        <w:rPr>
          <w:i/>
          <w:sz w:val="18"/>
          <w:szCs w:val="18"/>
        </w:rPr>
        <w:t>States of Incarceration: The Global Context</w:t>
      </w:r>
      <w:r w:rsidRPr="003115F1">
        <w:rPr>
          <w:sz w:val="18"/>
          <w:szCs w:val="18"/>
        </w:rPr>
        <w:t>, Prison Policy Initiative (2023). Available at: https://www.prisonpolicy.org/global/2024.html#:~:text=The%20U.S.%20has%20the%20highest,use%20of%20prisons%20and%20jails.</w:t>
      </w:r>
    </w:p>
  </w:footnote>
  <w:footnote w:id="19">
    <w:p w14:paraId="27A8AD02" w14:textId="77777777" w:rsidR="009B57A6" w:rsidRDefault="009B57A6" w:rsidP="009B57A6">
      <w:pPr>
        <w:pStyle w:val="FootnoteText"/>
      </w:pPr>
      <w:r w:rsidRPr="003115F1">
        <w:rPr>
          <w:rStyle w:val="FootnoteReference"/>
          <w:sz w:val="18"/>
          <w:szCs w:val="18"/>
        </w:rPr>
        <w:footnoteRef/>
      </w:r>
      <w:r w:rsidRPr="003115F1">
        <w:rPr>
          <w:sz w:val="18"/>
          <w:szCs w:val="18"/>
        </w:rPr>
        <w:t xml:space="preserve"> Thompson, Heather Ann, </w:t>
      </w:r>
      <w:r w:rsidRPr="003115F1">
        <w:rPr>
          <w:i/>
          <w:sz w:val="18"/>
          <w:szCs w:val="18"/>
        </w:rPr>
        <w:t>The Racial History of Criminal Justice in America</w:t>
      </w:r>
      <w:r w:rsidRPr="003115F1">
        <w:rPr>
          <w:sz w:val="18"/>
          <w:szCs w:val="18"/>
        </w:rPr>
        <w:t>, Square One Justice (2020). Available at: https://www.squareonejustice.org/wp-content/uploads/2019/10/roundtable-oct2018-Racial-History-of-Criminal-Justice-in-America-by-Heather-Ann-Thompson.pdf</w:t>
      </w:r>
    </w:p>
  </w:footnote>
  <w:footnote w:id="20">
    <w:p w14:paraId="0D01FCB9" w14:textId="77777777" w:rsidR="009B57A6" w:rsidRDefault="009B57A6" w:rsidP="009B57A6">
      <w:pPr>
        <w:pStyle w:val="FootnoteText"/>
      </w:pPr>
      <w:r>
        <w:rPr>
          <w:rStyle w:val="FootnoteReference"/>
        </w:rPr>
        <w:footnoteRef/>
      </w:r>
      <w:r w:rsidRPr="003115F1">
        <w:rPr>
          <w:sz w:val="18"/>
          <w:szCs w:val="18"/>
        </w:rPr>
        <w:t xml:space="preserve"> </w:t>
      </w:r>
      <w:r w:rsidRPr="003115F1">
        <w:rPr>
          <w:i/>
          <w:sz w:val="18"/>
          <w:szCs w:val="18"/>
        </w:rPr>
        <w:t>United States Profile</w:t>
      </w:r>
      <w:r w:rsidRPr="003115F1">
        <w:rPr>
          <w:sz w:val="18"/>
          <w:szCs w:val="18"/>
        </w:rPr>
        <w:t>, Prison Policy Initiative (2024). Available at: https://www.prisonpolicy.org/profiles/US.html</w:t>
      </w:r>
    </w:p>
  </w:footnote>
  <w:footnote w:id="21">
    <w:p w14:paraId="2048F444" w14:textId="77777777" w:rsidR="009B57A6" w:rsidRDefault="009B57A6" w:rsidP="009B57A6">
      <w:pPr>
        <w:pStyle w:val="FootnoteText"/>
      </w:pPr>
      <w:r>
        <w:rPr>
          <w:rStyle w:val="FootnoteReference"/>
        </w:rPr>
        <w:footnoteRef/>
      </w:r>
      <w:r>
        <w:t xml:space="preserve"> </w:t>
      </w:r>
      <w:r>
        <w:rPr>
          <w:i/>
          <w:iCs/>
        </w:rPr>
        <w:t xml:space="preserve">See </w:t>
      </w:r>
      <w:r w:rsidRPr="00E52097">
        <w:rPr>
          <w:sz w:val="18"/>
          <w:szCs w:val="18"/>
        </w:rPr>
        <w:t xml:space="preserve">Thompson, Heather Ann, </w:t>
      </w:r>
      <w:r w:rsidRPr="00E52097">
        <w:rPr>
          <w:i/>
          <w:sz w:val="18"/>
          <w:szCs w:val="18"/>
        </w:rPr>
        <w:t>The Racial History of Criminal Justice in America</w:t>
      </w:r>
      <w:r w:rsidRPr="00E52097">
        <w:rPr>
          <w:sz w:val="18"/>
          <w:szCs w:val="18"/>
        </w:rPr>
        <w:t xml:space="preserve">, Square One Justice (2020). Available at: </w:t>
      </w:r>
      <w:hyperlink r:id="rId10" w:history="1">
        <w:r w:rsidRPr="00461495">
          <w:rPr>
            <w:rStyle w:val="Hyperlink"/>
            <w:rFonts w:eastAsiaTheme="majorEastAsia"/>
            <w:sz w:val="18"/>
            <w:szCs w:val="18"/>
          </w:rPr>
          <w:t>https://www.squareonejustice.org/wp-content/uploads/2019/10/roundtable-oct2018-Racial-History-of-Criminal-Justice-in-America-by-Heather-Ann-Thompson.pdf</w:t>
        </w:r>
      </w:hyperlink>
      <w:r>
        <w:rPr>
          <w:sz w:val="18"/>
          <w:szCs w:val="18"/>
        </w:rPr>
        <w:t xml:space="preserve">; Amanda Watford, </w:t>
      </w:r>
      <w:r w:rsidRPr="00261294">
        <w:rPr>
          <w:i/>
          <w:iCs/>
          <w:sz w:val="18"/>
          <w:szCs w:val="18"/>
        </w:rPr>
        <w:t>US prison population rises for second straight year</w:t>
      </w:r>
      <w:r>
        <w:rPr>
          <w:sz w:val="18"/>
          <w:szCs w:val="18"/>
        </w:rPr>
        <w:t xml:space="preserve">, Oct. 7, 2025, </w:t>
      </w:r>
      <w:hyperlink r:id="rId11" w:history="1">
        <w:r w:rsidRPr="00461495">
          <w:rPr>
            <w:rStyle w:val="Hyperlink"/>
            <w:rFonts w:eastAsiaTheme="majorEastAsia"/>
            <w:sz w:val="18"/>
            <w:szCs w:val="18"/>
          </w:rPr>
          <w:t>https://stateline.org/2025/10/07/us-prison-population-rises-for-second-straight-year/</w:t>
        </w:r>
      </w:hyperlink>
      <w:r>
        <w:rPr>
          <w:sz w:val="18"/>
          <w:szCs w:val="18"/>
        </w:rPr>
        <w:t xml:space="preserve">. </w:t>
      </w:r>
    </w:p>
  </w:footnote>
  <w:footnote w:id="22">
    <w:p w14:paraId="29CF8AE1" w14:textId="77777777" w:rsidR="009B57A6" w:rsidRDefault="009B57A6" w:rsidP="009B57A6">
      <w:pPr>
        <w:pStyle w:val="FootnoteText"/>
      </w:pPr>
      <w:r>
        <w:rPr>
          <w:rStyle w:val="FootnoteReference"/>
        </w:rPr>
        <w:footnoteRef/>
      </w:r>
      <w:r>
        <w:t xml:space="preserve"> </w:t>
      </w:r>
      <w:r w:rsidRPr="00E52097">
        <w:rPr>
          <w:sz w:val="18"/>
          <w:szCs w:val="18"/>
        </w:rPr>
        <w:t xml:space="preserve">Thompson, Heather Ann, </w:t>
      </w:r>
      <w:r w:rsidRPr="00E52097">
        <w:rPr>
          <w:i/>
          <w:sz w:val="18"/>
          <w:szCs w:val="18"/>
        </w:rPr>
        <w:t>The Racial History of Criminal Justice in America</w:t>
      </w:r>
      <w:r w:rsidRPr="00E52097">
        <w:rPr>
          <w:sz w:val="18"/>
          <w:szCs w:val="18"/>
        </w:rPr>
        <w:t>, Square One Justice (2020). Available at: https://www.squareonejustice.org/wp-content/uploads/2019/10/roundtable-oct2018-Racial-History-of-Criminal-Justice-in-America-by-Heather-Ann-Thompson.pdf</w:t>
      </w:r>
    </w:p>
  </w:footnote>
  <w:footnote w:id="23">
    <w:p w14:paraId="1A0F99BB" w14:textId="77777777" w:rsidR="009B57A6" w:rsidRDefault="009B57A6" w:rsidP="009B57A6">
      <w:pPr>
        <w:pStyle w:val="FootnoteText"/>
      </w:pPr>
      <w:r>
        <w:rPr>
          <w:rStyle w:val="FootnoteReference"/>
        </w:rPr>
        <w:footnoteRef/>
      </w:r>
      <w:r>
        <w:t xml:space="preserve"> Barber, Jesse and </w:t>
      </w:r>
      <w:r w:rsidRPr="003115F1">
        <w:rPr>
          <w:sz w:val="18"/>
          <w:szCs w:val="18"/>
        </w:rPr>
        <w:t xml:space="preserve">McCormack, Simon, </w:t>
      </w:r>
      <w:r w:rsidRPr="003115F1">
        <w:rPr>
          <w:i/>
          <w:sz w:val="18"/>
          <w:szCs w:val="18"/>
        </w:rPr>
        <w:t>A Racial Disparity Across New York That Is Truly Jarring</w:t>
      </w:r>
      <w:r w:rsidRPr="003115F1">
        <w:rPr>
          <w:sz w:val="18"/>
          <w:szCs w:val="18"/>
        </w:rPr>
        <w:t>, New York Civil Liberties Union (2022). Available at: https://www.nyclu.org/commentary/racial-disparity-across-new-york-truly-jarring</w:t>
      </w:r>
    </w:p>
  </w:footnote>
  <w:footnote w:id="24">
    <w:p w14:paraId="6389530E" w14:textId="77777777" w:rsidR="009B57A6" w:rsidRDefault="009B57A6" w:rsidP="009B57A6">
      <w:pPr>
        <w:pStyle w:val="FootnoteText"/>
      </w:pPr>
      <w:r>
        <w:rPr>
          <w:rStyle w:val="FootnoteReference"/>
        </w:rPr>
        <w:footnoteRef/>
      </w:r>
      <w:r>
        <w:t xml:space="preserve"> </w:t>
      </w:r>
      <w:r w:rsidRPr="003115F1">
        <w:rPr>
          <w:i/>
          <w:sz w:val="18"/>
          <w:szCs w:val="18"/>
        </w:rPr>
        <w:t>Ending Discriminatory Policing in New York City,</w:t>
      </w:r>
      <w:r w:rsidRPr="003115F1">
        <w:rPr>
          <w:sz w:val="18"/>
          <w:szCs w:val="18"/>
        </w:rPr>
        <w:t xml:space="preserve"> New York Civil Liberties Union. Available at: https://assets.nyclu.org/publications/NYCLU_DiscriminatoryPolicing_final.pdf</w:t>
      </w:r>
    </w:p>
  </w:footnote>
  <w:footnote w:id="25">
    <w:p w14:paraId="26441BCD" w14:textId="77777777" w:rsidR="009B57A6" w:rsidRDefault="009B57A6" w:rsidP="009B57A6">
      <w:pPr>
        <w:pStyle w:val="FootnoteText"/>
      </w:pPr>
      <w:r>
        <w:rPr>
          <w:rStyle w:val="FootnoteReference"/>
        </w:rPr>
        <w:footnoteRef/>
      </w:r>
      <w:r>
        <w:t xml:space="preserve"> </w:t>
      </w:r>
      <w:r w:rsidRPr="00AA6AEC">
        <w:rPr>
          <w:i/>
          <w:sz w:val="18"/>
          <w:szCs w:val="18"/>
        </w:rPr>
        <w:t xml:space="preserve"> </w:t>
      </w:r>
      <w:r w:rsidRPr="00E52097">
        <w:rPr>
          <w:i/>
          <w:sz w:val="18"/>
          <w:szCs w:val="18"/>
        </w:rPr>
        <w:t>Ending Discriminatory Policing in New York City,</w:t>
      </w:r>
      <w:r w:rsidRPr="00E52097">
        <w:rPr>
          <w:sz w:val="18"/>
          <w:szCs w:val="18"/>
        </w:rPr>
        <w:t xml:space="preserve"> New York Civil Liberties Union. Available at: https://assets.nyclu.org/publications/NYCLU_DiscriminatoryPolicing_final.pdf</w:t>
      </w:r>
    </w:p>
  </w:footnote>
  <w:footnote w:id="26">
    <w:p w14:paraId="1DEB478A" w14:textId="77777777" w:rsidR="009B57A6" w:rsidRDefault="009B57A6" w:rsidP="009B57A6">
      <w:pPr>
        <w:pStyle w:val="FootnoteText"/>
      </w:pPr>
      <w:r>
        <w:rPr>
          <w:rStyle w:val="FootnoteReference"/>
        </w:rPr>
        <w:footnoteRef/>
      </w:r>
      <w:r>
        <w:t xml:space="preserve"> Preamble, New York City Charter (Dec 2022). Available at: </w:t>
      </w:r>
      <w:hyperlink r:id="rId12" w:history="1">
        <w:r w:rsidRPr="004B4B35">
          <w:rPr>
            <w:rStyle w:val="Hyperlink"/>
            <w:rFonts w:eastAsiaTheme="majorEastAsia"/>
          </w:rPr>
          <w:t>https://codelibrary.amlegal.com/codes/newyorkcity/latest/NYCcharter/0-0-0-4</w:t>
        </w:r>
      </w:hyperlink>
      <w:r>
        <w:t xml:space="preserve"> </w:t>
      </w:r>
    </w:p>
  </w:footnote>
  <w:footnote w:id="27">
    <w:p w14:paraId="66243838" w14:textId="77777777" w:rsidR="009B57A6" w:rsidRDefault="009B57A6" w:rsidP="009B57A6">
      <w:pPr>
        <w:pStyle w:val="FootnoteText"/>
      </w:pPr>
      <w:r>
        <w:rPr>
          <w:rStyle w:val="FootnoteReference"/>
        </w:rPr>
        <w:footnoteRef/>
      </w:r>
      <w:r>
        <w:t xml:space="preserve"> </w:t>
      </w:r>
      <w:r w:rsidRPr="00C32976">
        <w:rPr>
          <w:i/>
        </w:rPr>
        <w:t>The State of Black New York</w:t>
      </w:r>
      <w:r>
        <w:t xml:space="preserve">, New York Urban League (2024). Available at: </w:t>
      </w:r>
      <w:hyperlink r:id="rId13" w:history="1">
        <w:r w:rsidRPr="004B4B35">
          <w:rPr>
            <w:rStyle w:val="Hyperlink"/>
            <w:rFonts w:eastAsiaTheme="majorEastAsia"/>
          </w:rPr>
          <w:t>https://ad1a3eae-9408-4799-abeb-aa6ebc798f5b.usrfiles.com/ugd/ccf12e_06a44ca4995a40d7944b361219f9a6d8.pdf</w:t>
        </w:r>
      </w:hyperlink>
      <w:r>
        <w:t xml:space="preserve"> </w:t>
      </w:r>
    </w:p>
  </w:footnote>
  <w:footnote w:id="28">
    <w:p w14:paraId="168DBA4D" w14:textId="77777777" w:rsidR="009B57A6" w:rsidRDefault="009B57A6" w:rsidP="009B57A6">
      <w:pPr>
        <w:pStyle w:val="FootnoteText"/>
      </w:pPr>
      <w:r>
        <w:rPr>
          <w:rStyle w:val="FootnoteReference"/>
        </w:rPr>
        <w:footnoteRef/>
      </w:r>
      <w:r>
        <w:t xml:space="preserve"> </w:t>
      </w:r>
      <w:r w:rsidRPr="00CD2FE5">
        <w:rPr>
          <w:i/>
        </w:rPr>
        <w:t>State of Poverty and Disadvantage in New York City</w:t>
      </w:r>
      <w:r>
        <w:t xml:space="preserve">, Center on Poverty and Social Policy, Columbia Population Research Center in partnership with Robinhood (Feb 2021). Available at: </w:t>
      </w:r>
      <w:hyperlink r:id="rId14" w:history="1">
        <w:r w:rsidRPr="004B4B35">
          <w:rPr>
            <w:rStyle w:val="Hyperlink"/>
            <w:rFonts w:eastAsiaTheme="majorEastAsia"/>
          </w:rPr>
          <w:t>https://robinhood.org/wp-content/uploads/2023/08/POVERTY_TRACKER_REPORT25.pdf</w:t>
        </w:r>
      </w:hyperlink>
    </w:p>
  </w:footnote>
  <w:footnote w:id="29">
    <w:p w14:paraId="5630DC69" w14:textId="77777777" w:rsidR="009B57A6" w:rsidRDefault="009B57A6" w:rsidP="009B57A6">
      <w:pPr>
        <w:pStyle w:val="FootnoteText"/>
      </w:pPr>
      <w:r>
        <w:rPr>
          <w:rStyle w:val="FootnoteReference"/>
        </w:rPr>
        <w:footnoteRef/>
      </w:r>
      <w:r>
        <w:t xml:space="preserve"> </w:t>
      </w:r>
      <w:r w:rsidRPr="00CD2FE5">
        <w:rPr>
          <w:i/>
        </w:rPr>
        <w:t>State of Poverty and Disadvantage in New York City</w:t>
      </w:r>
      <w:r>
        <w:t xml:space="preserve">, Center on Poverty and Social Policy, Columbia Population Research Center in partnership with Robinhood (Feb 2021). Available at: </w:t>
      </w:r>
      <w:hyperlink r:id="rId15" w:history="1">
        <w:r w:rsidRPr="004B4B35">
          <w:rPr>
            <w:rStyle w:val="Hyperlink"/>
            <w:rFonts w:eastAsiaTheme="majorEastAsia"/>
          </w:rPr>
          <w:t>https://robinhood.org/wp-content/uploads/2023/08/POVERTY_TRACKER_REPORT25.pdf</w:t>
        </w:r>
      </w:hyperlink>
    </w:p>
  </w:footnote>
  <w:footnote w:id="30">
    <w:p w14:paraId="2B848A14" w14:textId="77777777" w:rsidR="009B57A6" w:rsidRDefault="009B57A6" w:rsidP="009B57A6">
      <w:pPr>
        <w:pStyle w:val="FootnoteText"/>
      </w:pPr>
      <w:r>
        <w:rPr>
          <w:rStyle w:val="FootnoteReference"/>
        </w:rPr>
        <w:footnoteRef/>
      </w:r>
      <w:r>
        <w:t xml:space="preserve"> </w:t>
      </w:r>
      <w:r w:rsidRPr="00CD2FE5">
        <w:rPr>
          <w:i/>
        </w:rPr>
        <w:t>State of Poverty and Disadvantage in New York City</w:t>
      </w:r>
      <w:r>
        <w:t xml:space="preserve">, Center on Poverty and Social Policy, Columbia Population Research Center in partnership with Robinhood (Feb 2021). Available at: </w:t>
      </w:r>
      <w:hyperlink r:id="rId16" w:history="1">
        <w:r w:rsidRPr="004B4B35">
          <w:rPr>
            <w:rStyle w:val="Hyperlink"/>
            <w:rFonts w:eastAsiaTheme="majorEastAsia"/>
          </w:rPr>
          <w:t>https://robinhood.org/wp-content/uploads/2023/08/POVERTY_TRACKER_REPORT25.pdf</w:t>
        </w:r>
      </w:hyperlink>
    </w:p>
  </w:footnote>
  <w:footnote w:id="31">
    <w:p w14:paraId="16B1E441" w14:textId="77777777" w:rsidR="009B57A6" w:rsidRDefault="009B57A6" w:rsidP="009B57A6">
      <w:pPr>
        <w:pStyle w:val="FootnoteText"/>
      </w:pPr>
      <w:r>
        <w:rPr>
          <w:rStyle w:val="FootnoteReference"/>
        </w:rPr>
        <w:footnoteRef/>
      </w:r>
      <w:r>
        <w:t xml:space="preserve"> Food hardship is defined as often running out of food or worrying food would run out before there was enough money to buy more. See: </w:t>
      </w:r>
      <w:hyperlink r:id="rId17" w:history="1">
        <w:r w:rsidRPr="004B4B35">
          <w:rPr>
            <w:rStyle w:val="Hyperlink"/>
            <w:rFonts w:eastAsiaTheme="majorEastAsia"/>
          </w:rPr>
          <w:t>https://robinhood.org/wp-content/uploads/2023/08/POVERTY_TRACKER_REPORT25.pdf</w:t>
        </w:r>
      </w:hyperlink>
    </w:p>
  </w:footnote>
  <w:footnote w:id="32">
    <w:p w14:paraId="418E53ED" w14:textId="77777777" w:rsidR="009B57A6" w:rsidRDefault="009B57A6" w:rsidP="009B57A6">
      <w:pPr>
        <w:pStyle w:val="FootnoteText"/>
      </w:pPr>
      <w:r>
        <w:rPr>
          <w:rStyle w:val="FootnoteReference"/>
        </w:rPr>
        <w:footnoteRef/>
      </w:r>
      <w:r>
        <w:t xml:space="preserve"> </w:t>
      </w:r>
      <w:r w:rsidRPr="00CD2FE5">
        <w:rPr>
          <w:i/>
        </w:rPr>
        <w:t>State of Poverty and Disadvantage in New York City</w:t>
      </w:r>
      <w:r>
        <w:t xml:space="preserve">, Center on Poverty and Social Policy, Columbia Population Research Center in partnership with Robinhood (Feb 2021). Available at: </w:t>
      </w:r>
      <w:hyperlink r:id="rId18" w:history="1">
        <w:r w:rsidRPr="004B4B35">
          <w:rPr>
            <w:rStyle w:val="Hyperlink"/>
            <w:rFonts w:eastAsiaTheme="majorEastAsia"/>
          </w:rPr>
          <w:t>https://robinhood.org/wp-content/uploads/2023/08/POVERTY_TRACKER_REPORT25.pdf</w:t>
        </w:r>
      </w:hyperlink>
    </w:p>
  </w:footnote>
  <w:footnote w:id="33">
    <w:p w14:paraId="0C367B6D" w14:textId="77777777" w:rsidR="009B57A6" w:rsidRDefault="009B57A6" w:rsidP="009B57A6">
      <w:pPr>
        <w:pStyle w:val="FootnoteText"/>
      </w:pPr>
      <w:r>
        <w:rPr>
          <w:rStyle w:val="FootnoteReference"/>
        </w:rPr>
        <w:footnoteRef/>
      </w:r>
      <w:r>
        <w:t xml:space="preserve"> </w:t>
      </w:r>
      <w:r w:rsidRPr="00CD2FE5">
        <w:rPr>
          <w:i/>
        </w:rPr>
        <w:t>State of Poverty and Disadvantage in New York City</w:t>
      </w:r>
      <w:r>
        <w:t xml:space="preserve">, Center on Poverty and Social Policy, Columbia Population Research Center in partnership with Robinhood (Feb 2021). Available at: </w:t>
      </w:r>
      <w:hyperlink r:id="rId19" w:history="1">
        <w:r w:rsidRPr="004B4B35">
          <w:rPr>
            <w:rStyle w:val="Hyperlink"/>
            <w:rFonts w:eastAsiaTheme="majorEastAsia"/>
          </w:rPr>
          <w:t>https://robinhood.org/wp-content/uploads/2023/08/POVERTY_TRACKER_REPORT25.pdf</w:t>
        </w:r>
      </w:hyperlink>
    </w:p>
  </w:footnote>
  <w:footnote w:id="34">
    <w:p w14:paraId="2129AD49" w14:textId="77777777" w:rsidR="009B57A6" w:rsidRDefault="009B57A6" w:rsidP="009B57A6">
      <w:pPr>
        <w:pStyle w:val="FootnoteText"/>
      </w:pPr>
      <w:r>
        <w:rPr>
          <w:rStyle w:val="FootnoteReference"/>
        </w:rPr>
        <w:footnoteRef/>
      </w:r>
      <w:r>
        <w:t xml:space="preserve"> </w:t>
      </w:r>
      <w:r w:rsidRPr="00CD2FE5">
        <w:rPr>
          <w:i/>
        </w:rPr>
        <w:t>State of Poverty and Disadvantage in New York City</w:t>
      </w:r>
      <w:r>
        <w:t xml:space="preserve">, Center on Poverty and Social Policy, Columbia Population Research Center in partnership with Robinhood (Feb 2021). Available at: </w:t>
      </w:r>
      <w:hyperlink r:id="rId20" w:history="1">
        <w:r w:rsidRPr="004B4B35">
          <w:rPr>
            <w:rStyle w:val="Hyperlink"/>
            <w:rFonts w:eastAsiaTheme="majorEastAsia"/>
          </w:rPr>
          <w:t>https://robinhood.org/wp-content/uploads/2023/08/POVERTY_TRACKER_REPORT25.pdf</w:t>
        </w:r>
      </w:hyperlink>
    </w:p>
  </w:footnote>
  <w:footnote w:id="35">
    <w:p w14:paraId="56E99532" w14:textId="77777777" w:rsidR="009B57A6" w:rsidRDefault="009B57A6" w:rsidP="009B57A6">
      <w:pPr>
        <w:pStyle w:val="FootnoteText"/>
      </w:pPr>
      <w:r>
        <w:rPr>
          <w:rStyle w:val="FootnoteReference"/>
        </w:rPr>
        <w:footnoteRef/>
      </w:r>
      <w:r>
        <w:t xml:space="preserve"> </w:t>
      </w:r>
      <w:r w:rsidRPr="00CD2FE5">
        <w:rPr>
          <w:i/>
        </w:rPr>
        <w:t>State of Poverty and Disadvantage in New York City</w:t>
      </w:r>
      <w:r>
        <w:t xml:space="preserve">, Center on Poverty and Social Policy, Columbia Population Research Center in partnership with Robinhood (Feb 2021). Available at: </w:t>
      </w:r>
      <w:hyperlink r:id="rId21" w:history="1">
        <w:r w:rsidRPr="004B4B35">
          <w:rPr>
            <w:rStyle w:val="Hyperlink"/>
            <w:rFonts w:eastAsiaTheme="majorEastAsia"/>
          </w:rPr>
          <w:t>https://robinhood.org/wp-content/uploads/2023/08/POVERTY_TRACKER_REPORT25.pdf</w:t>
        </w:r>
      </w:hyperlink>
    </w:p>
  </w:footnote>
  <w:footnote w:id="36">
    <w:p w14:paraId="5A0D8A89" w14:textId="77777777" w:rsidR="009B57A6" w:rsidRDefault="009B57A6" w:rsidP="009B57A6">
      <w:pPr>
        <w:pStyle w:val="FootnoteText"/>
      </w:pPr>
      <w:r>
        <w:rPr>
          <w:rStyle w:val="FootnoteReference"/>
        </w:rPr>
        <w:footnoteRef/>
      </w:r>
      <w:r>
        <w:t xml:space="preserve"> </w:t>
      </w:r>
      <w:r w:rsidRPr="00CD2FE5">
        <w:rPr>
          <w:i/>
        </w:rPr>
        <w:t>State of Poverty and Disadvantage in New York City</w:t>
      </w:r>
      <w:r>
        <w:t xml:space="preserve">, Center on Poverty and Social Policy, Columbia Population Research Center in partnership with Robinhood (Feb 2021). Available at: </w:t>
      </w:r>
      <w:hyperlink r:id="rId22" w:history="1">
        <w:r w:rsidRPr="004B4B35">
          <w:rPr>
            <w:rStyle w:val="Hyperlink"/>
            <w:rFonts w:eastAsiaTheme="majorEastAsia"/>
          </w:rPr>
          <w:t>https://robinhood.org/wp-content/uploads/2023/08/POVERTY_TRACKER_REPORT25.pdf</w:t>
        </w:r>
      </w:hyperlink>
    </w:p>
  </w:footnote>
  <w:footnote w:id="37">
    <w:p w14:paraId="54888EC6" w14:textId="77777777" w:rsidR="009B57A6" w:rsidRDefault="009B57A6" w:rsidP="009B57A6">
      <w:pPr>
        <w:pStyle w:val="FootnoteText"/>
      </w:pPr>
      <w:r>
        <w:rPr>
          <w:rStyle w:val="FootnoteReference"/>
        </w:rPr>
        <w:footnoteRef/>
      </w:r>
      <w:r>
        <w:t xml:space="preserve"> 2024 Community Equity Priorities and Outcome Indicators, NYC Commission on Racial Equity. Available at: </w:t>
      </w:r>
      <w:hyperlink r:id="rId23" w:history="1">
        <w:r w:rsidRPr="008F61AE">
          <w:rPr>
            <w:rStyle w:val="Hyperlink"/>
            <w:rFonts w:eastAsiaTheme="majorEastAsia"/>
          </w:rPr>
          <w:t>https://www.nyc.gov/content/core/pages/community-equity-priorities-and-outcome-indicators</w:t>
        </w:r>
      </w:hyperlink>
    </w:p>
  </w:footnote>
  <w:footnote w:id="38">
    <w:p w14:paraId="15DA1614" w14:textId="77777777" w:rsidR="009B57A6" w:rsidRDefault="009B57A6" w:rsidP="009B57A6">
      <w:pPr>
        <w:pStyle w:val="FootnoteText"/>
      </w:pPr>
      <w:r>
        <w:rPr>
          <w:rStyle w:val="FootnoteReference"/>
        </w:rPr>
        <w:footnoteRef/>
      </w:r>
      <w:r>
        <w:t xml:space="preserve"> 2024 Community Equity Priorities and Outcome Indicators, NYC Commission on Racial Equity. Available at: </w:t>
      </w:r>
      <w:hyperlink r:id="rId24" w:history="1">
        <w:r w:rsidRPr="008F61AE">
          <w:rPr>
            <w:rStyle w:val="Hyperlink"/>
            <w:rFonts w:eastAsiaTheme="majorEastAsia"/>
          </w:rPr>
          <w:t>https://www.nyc.gov/content/core/pages/community-equity-priorities-and-outcome-indicators</w:t>
        </w:r>
      </w:hyperlink>
    </w:p>
  </w:footnote>
  <w:footnote w:id="39">
    <w:p w14:paraId="6A8DB011" w14:textId="77777777" w:rsidR="009B57A6" w:rsidRDefault="009B57A6" w:rsidP="009B57A6">
      <w:pPr>
        <w:pStyle w:val="FootnoteText"/>
      </w:pPr>
      <w:r>
        <w:rPr>
          <w:rStyle w:val="FootnoteReference"/>
        </w:rPr>
        <w:footnoteRef/>
      </w:r>
      <w:r>
        <w:t xml:space="preserve"> 2024 Community Equity Priorities and Outcome Indicators, NYC Commission on Racial Equity. Available at: </w:t>
      </w:r>
      <w:hyperlink r:id="rId25" w:history="1">
        <w:r w:rsidRPr="008F61AE">
          <w:rPr>
            <w:rStyle w:val="Hyperlink"/>
            <w:rFonts w:eastAsiaTheme="majorEastAsia"/>
          </w:rPr>
          <w:t>https://www.nyc.gov/content/core/pages/community-equity-priorities-and-outcome-indicators</w:t>
        </w:r>
      </w:hyperlink>
      <w:r>
        <w:t xml:space="preserve"> </w:t>
      </w:r>
    </w:p>
  </w:footnote>
  <w:footnote w:id="40">
    <w:p w14:paraId="58A85BDC" w14:textId="77777777" w:rsidR="009B57A6" w:rsidRDefault="009B57A6" w:rsidP="009B57A6">
      <w:pPr>
        <w:pStyle w:val="FootnoteText"/>
      </w:pPr>
      <w:r>
        <w:rPr>
          <w:rStyle w:val="FootnoteReference"/>
        </w:rPr>
        <w:footnoteRef/>
      </w:r>
      <w:r>
        <w:t xml:space="preserve"> On November 20, 2024, CORE released </w:t>
      </w:r>
      <w:proofErr w:type="spellStart"/>
      <w:r>
        <w:t>it’s</w:t>
      </w:r>
      <w:proofErr w:type="spellEnd"/>
      <w:r>
        <w:t xml:space="preserve"> final list of Community Equity Priorities.</w:t>
      </w:r>
      <w:r>
        <w:rPr>
          <w:rStyle w:val="FootnoteReference"/>
        </w:rPr>
        <w:footnoteRef/>
      </w:r>
    </w:p>
  </w:footnote>
  <w:footnote w:id="41">
    <w:p w14:paraId="4DD8DF09" w14:textId="77777777" w:rsidR="009B57A6" w:rsidRDefault="009B57A6" w:rsidP="009B57A6">
      <w:pPr>
        <w:pStyle w:val="FootnoteText"/>
      </w:pPr>
      <w:r>
        <w:rPr>
          <w:rStyle w:val="FootnoteReference"/>
        </w:rPr>
        <w:footnoteRef/>
      </w:r>
      <w:r>
        <w:t xml:space="preserve"> 2024 Community Equity Priorities and Outcome Indicators, NYC Commission on Racial Equity. Available at: </w:t>
      </w:r>
      <w:hyperlink r:id="rId26" w:history="1">
        <w:r w:rsidRPr="008F61AE">
          <w:rPr>
            <w:rStyle w:val="Hyperlink"/>
            <w:rFonts w:eastAsiaTheme="majorEastAsia"/>
          </w:rPr>
          <w:t>https://www.nyc.gov/content/core/pages/community-equity-priorities-and-outcome-indicators</w:t>
        </w:r>
      </w:hyperlink>
      <w:r>
        <w:t xml:space="preserve"> </w:t>
      </w:r>
    </w:p>
    <w:p w14:paraId="13F14D7D" w14:textId="77777777" w:rsidR="009B57A6" w:rsidRDefault="009B57A6" w:rsidP="009B57A6">
      <w:pPr>
        <w:pStyle w:val="FootnoteText"/>
      </w:pPr>
      <w:r>
        <w:rPr>
          <w:rStyle w:val="FootnoteReference"/>
        </w:rPr>
        <w:footnoteRef/>
      </w:r>
      <w:r>
        <w:t xml:space="preserve"> On November 20, 2024, CORE released </w:t>
      </w:r>
      <w:proofErr w:type="spellStart"/>
      <w:r>
        <w:t>it’s</w:t>
      </w:r>
      <w:proofErr w:type="spellEnd"/>
      <w:r>
        <w:t xml:space="preserve"> final list of Community Equity Priorities.</w:t>
      </w:r>
      <w:r>
        <w:rPr>
          <w:rStyle w:val="FootnoteReference"/>
        </w:rPr>
        <w:footnoteRef/>
      </w:r>
    </w:p>
  </w:footnote>
  <w:footnote w:id="42">
    <w:p w14:paraId="2B36797F" w14:textId="77777777" w:rsidR="009B57A6" w:rsidRDefault="009B57A6" w:rsidP="009B57A6">
      <w:pPr>
        <w:pStyle w:val="FootnoteText"/>
      </w:pPr>
      <w:r>
        <w:rPr>
          <w:rStyle w:val="FootnoteReference"/>
        </w:rPr>
        <w:footnoteRef/>
      </w:r>
      <w:r>
        <w:t xml:space="preserve"> 2024 Community Equity Priorities and Outcome Indicators, NYC Commission on Racial Equity. Available at: </w:t>
      </w:r>
      <w:hyperlink r:id="rId27" w:history="1">
        <w:r w:rsidRPr="008F61AE">
          <w:rPr>
            <w:rStyle w:val="Hyperlink"/>
            <w:rFonts w:eastAsiaTheme="majorEastAsia"/>
          </w:rPr>
          <w:t>https://www.nyc.gov/content/core/pages/community-equity-priorities-and-outcome-indicators</w:t>
        </w:r>
      </w:hyperlink>
      <w:r>
        <w:t xml:space="preserve"> </w:t>
      </w:r>
    </w:p>
    <w:p w14:paraId="63DFC2BE" w14:textId="77777777" w:rsidR="009B57A6" w:rsidRDefault="009B57A6" w:rsidP="009B57A6">
      <w:pPr>
        <w:pStyle w:val="FootnoteText"/>
      </w:pPr>
      <w:r>
        <w:rPr>
          <w:rStyle w:val="FootnoteReference"/>
        </w:rPr>
        <w:footnoteRef/>
      </w:r>
      <w:r>
        <w:t xml:space="preserve"> On November 20, 2024, CORE released </w:t>
      </w:r>
      <w:proofErr w:type="spellStart"/>
      <w:r>
        <w:t>it’s</w:t>
      </w:r>
      <w:proofErr w:type="spellEnd"/>
      <w:r>
        <w:t xml:space="preserve"> final list of Community Equity Priorities.</w:t>
      </w:r>
      <w:r>
        <w:rPr>
          <w:rStyle w:val="FootnoteReference"/>
        </w:rPr>
        <w:footnoteRef/>
      </w:r>
    </w:p>
  </w:footnote>
  <w:footnote w:id="43">
    <w:p w14:paraId="1A3EE96A" w14:textId="77777777" w:rsidR="009B57A6" w:rsidRDefault="009B57A6" w:rsidP="009B57A6">
      <w:pPr>
        <w:pStyle w:val="FootnoteText"/>
      </w:pPr>
      <w:r>
        <w:rPr>
          <w:rStyle w:val="FootnoteReference"/>
        </w:rPr>
        <w:footnoteRef/>
      </w:r>
      <w:r>
        <w:t xml:space="preserve"> 2024 Community Equity Priorities and Outcome Indicators, NYC Commission on Racial Equity. Available at: </w:t>
      </w:r>
      <w:hyperlink r:id="rId28" w:history="1">
        <w:r w:rsidRPr="008F61AE">
          <w:rPr>
            <w:rStyle w:val="Hyperlink"/>
            <w:rFonts w:eastAsiaTheme="majorEastAsia"/>
          </w:rPr>
          <w:t>https://www.nyc.gov/content/core/pages/community-equity-priorities-and-outcome-indicators</w:t>
        </w:r>
      </w:hyperlink>
      <w:r>
        <w:t xml:space="preserve"> </w:t>
      </w:r>
    </w:p>
    <w:p w14:paraId="7A8D3AAE" w14:textId="77777777" w:rsidR="009B57A6" w:rsidRDefault="009B57A6" w:rsidP="009B57A6">
      <w:pPr>
        <w:pStyle w:val="FootnoteText"/>
      </w:pPr>
      <w:r>
        <w:rPr>
          <w:rStyle w:val="FootnoteReference"/>
        </w:rPr>
        <w:footnoteRef/>
      </w:r>
      <w:r>
        <w:t xml:space="preserve"> </w:t>
      </w:r>
      <w:r>
        <w:rPr>
          <w:rStyle w:val="FootnoteReference"/>
        </w:rPr>
        <w:footnoteRef/>
      </w:r>
      <w:r>
        <w:t xml:space="preserve"> 2024 Community Equity Priorities and Outcome Indicators, NYC Commission on Racial Equity. Available at: </w:t>
      </w:r>
      <w:hyperlink r:id="rId29" w:history="1">
        <w:r w:rsidRPr="008F61AE">
          <w:rPr>
            <w:rStyle w:val="Hyperlink"/>
            <w:rFonts w:eastAsiaTheme="majorEastAsia"/>
          </w:rPr>
          <w:t>https://www.nyc.gov/content/core/pages/community-equity-priorities-and-outcome-indicators</w:t>
        </w:r>
      </w:hyperlink>
    </w:p>
  </w:footnote>
  <w:footnote w:id="44">
    <w:p w14:paraId="171127BD" w14:textId="77777777" w:rsidR="009B57A6" w:rsidRDefault="009B57A6" w:rsidP="009B57A6">
      <w:pPr>
        <w:pStyle w:val="FootnoteText"/>
      </w:pPr>
      <w:r>
        <w:rPr>
          <w:rStyle w:val="FootnoteReference"/>
        </w:rPr>
        <w:footnoteRef/>
      </w:r>
      <w:r>
        <w:t xml:space="preserve"> Citywide Community Equity Priority Indicators, NYC Commission on Racial Equity (2024). Available at: </w:t>
      </w:r>
      <w:r w:rsidRPr="008F7ECA">
        <w:t>https://www.nyc.gov/content/core/pages/community-equity-priority-indicators</w:t>
      </w:r>
    </w:p>
  </w:footnote>
  <w:footnote w:id="45">
    <w:p w14:paraId="082E4153" w14:textId="77777777" w:rsidR="009B57A6" w:rsidRDefault="009B57A6" w:rsidP="009B57A6">
      <w:pPr>
        <w:pStyle w:val="FootnoteText"/>
      </w:pPr>
      <w:r>
        <w:rPr>
          <w:rStyle w:val="FootnoteReference"/>
        </w:rPr>
        <w:footnoteRef/>
      </w:r>
      <w:r>
        <w:t xml:space="preserve"> Citywide Community Equity Priority Indicators, NYC Commission on Racial Equity (2024). Available at: </w:t>
      </w:r>
      <w:r w:rsidRPr="008F7ECA">
        <w:t>https://www.nyc.gov/content/core/pages/community-equity-priority-indicators</w:t>
      </w:r>
    </w:p>
  </w:footnote>
  <w:footnote w:id="46">
    <w:p w14:paraId="718CC173" w14:textId="77777777" w:rsidR="009B57A6" w:rsidRDefault="009B57A6" w:rsidP="009B57A6">
      <w:pPr>
        <w:pStyle w:val="FootnoteText"/>
      </w:pPr>
      <w:r>
        <w:rPr>
          <w:rStyle w:val="FootnoteReference"/>
        </w:rPr>
        <w:footnoteRef/>
      </w:r>
      <w:r>
        <w:t xml:space="preserve"> Citywide Community Equity Priority Indicators, NYC Commission on Racial Equity (2024). Available at: </w:t>
      </w:r>
      <w:r w:rsidRPr="008F7ECA">
        <w:t>https://www.nyc.gov/content/core/pages/community-equity-priority-indicators</w:t>
      </w:r>
    </w:p>
  </w:footnote>
  <w:footnote w:id="47">
    <w:p w14:paraId="3FE650BD" w14:textId="77777777" w:rsidR="009B57A6" w:rsidRDefault="009B57A6" w:rsidP="009B57A6">
      <w:pPr>
        <w:pStyle w:val="FootnoteText"/>
      </w:pPr>
      <w:r>
        <w:rPr>
          <w:rStyle w:val="FootnoteReference"/>
        </w:rPr>
        <w:footnoteRef/>
      </w:r>
      <w:r>
        <w:t xml:space="preserve"> Citywide Community Equity Priority Indicators, NYC Commission on Racial Equity (2024). Available at: </w:t>
      </w:r>
      <w:r w:rsidRPr="008F7ECA">
        <w:t>https://www.nyc.gov/content/core/pages/community-equity-priority-indicators</w:t>
      </w:r>
    </w:p>
  </w:footnote>
  <w:footnote w:id="48">
    <w:p w14:paraId="01B43529" w14:textId="77777777" w:rsidR="009B57A6" w:rsidRDefault="009B57A6" w:rsidP="009B57A6">
      <w:pPr>
        <w:pStyle w:val="FootnoteText"/>
      </w:pPr>
      <w:r>
        <w:rPr>
          <w:rStyle w:val="FootnoteReference"/>
        </w:rPr>
        <w:footnoteRef/>
      </w:r>
      <w:r>
        <w:t xml:space="preserve"> Citywide Community Equity Priority Indicators, NYC Commission on Racial Equity (2024). Available at: </w:t>
      </w:r>
      <w:r w:rsidRPr="008F7ECA">
        <w:t>https://www.nyc.gov/content/core/pages/community-equity-priority-indicators</w:t>
      </w:r>
    </w:p>
  </w:footnote>
  <w:footnote w:id="49">
    <w:p w14:paraId="796818D8" w14:textId="77777777" w:rsidR="009B57A6" w:rsidRDefault="009B57A6" w:rsidP="009B57A6">
      <w:pPr>
        <w:pStyle w:val="FootnoteText"/>
      </w:pPr>
      <w:r>
        <w:rPr>
          <w:rStyle w:val="FootnoteReference"/>
        </w:rPr>
        <w:footnoteRef/>
      </w:r>
      <w:r>
        <w:t xml:space="preserve"> 2026 Community Engagement Cycle, NYC Commission on Racial Equity. Available at: </w:t>
      </w:r>
      <w:r w:rsidRPr="008E68D1">
        <w:t>https://www.nyc.gov/content/core/pages/community-engagement-cycle</w:t>
      </w:r>
    </w:p>
  </w:footnote>
  <w:footnote w:id="50">
    <w:p w14:paraId="298E0418" w14:textId="77777777" w:rsidR="009B57A6" w:rsidRDefault="009B57A6" w:rsidP="009B57A6">
      <w:pPr>
        <w:pStyle w:val="FootnoteText"/>
      </w:pPr>
      <w:r>
        <w:rPr>
          <w:rStyle w:val="FootnoteReference"/>
        </w:rPr>
        <w:footnoteRef/>
      </w:r>
      <w:r>
        <w:t xml:space="preserve"> NYC for Racial Justice: Final Report of the NYC Racial Justice Commission, New York City Racial Justice Commission (Dec 2021). Available at: </w:t>
      </w:r>
      <w:hyperlink r:id="rId30" w:history="1">
        <w:r w:rsidRPr="004B4B35">
          <w:rPr>
            <w:rStyle w:val="Hyperlink"/>
            <w:rFonts w:eastAsiaTheme="majorEastAsia"/>
          </w:rPr>
          <w:t>https://racialjustice.cityofnewyork.us/wp-content/uploads/2022/05/Final-Report-of-the-NYC-Racial-Justice-Commission.pdf</w:t>
        </w:r>
      </w:hyperlink>
      <w:r>
        <w:t xml:space="preserve">  </w:t>
      </w:r>
    </w:p>
  </w:footnote>
  <w:footnote w:id="51">
    <w:p w14:paraId="483FCD3B" w14:textId="77777777" w:rsidR="009B57A6" w:rsidRDefault="009B57A6" w:rsidP="009B57A6">
      <w:pPr>
        <w:pStyle w:val="FootnoteText"/>
      </w:pPr>
      <w:r>
        <w:rPr>
          <w:rStyle w:val="FootnoteReference"/>
        </w:rPr>
        <w:footnoteRef/>
      </w:r>
      <w:r>
        <w:t xml:space="preserve"> Charter § 3403-a.</w:t>
      </w:r>
    </w:p>
  </w:footnote>
  <w:footnote w:id="52">
    <w:p w14:paraId="52B13955" w14:textId="77777777" w:rsidR="009B57A6" w:rsidRDefault="009B57A6" w:rsidP="009B57A6">
      <w:pPr>
        <w:pStyle w:val="FootnoteText"/>
      </w:pPr>
      <w:r>
        <w:rPr>
          <w:rStyle w:val="FootnoteReference"/>
        </w:rPr>
        <w:footnoteRef/>
      </w:r>
      <w:r>
        <w:t xml:space="preserve"> </w:t>
      </w:r>
      <w:hyperlink r:id="rId31" w:history="1">
        <w:r w:rsidRPr="00651387">
          <w:rPr>
            <w:rStyle w:val="Hyperlink"/>
            <w:rFonts w:eastAsiaTheme="majorEastAsia"/>
          </w:rPr>
          <w:t>NYC FOR RACIAL JUSTICE: FINAL REPORT OF THE NYC RACIAL JUSTICE COMMISSION (cityofnewyork.us)</w:t>
        </w:r>
      </w:hyperlink>
      <w:r w:rsidRPr="00651387">
        <w:rPr>
          <w:rStyle w:val="Hyperlink"/>
          <w:rFonts w:eastAsiaTheme="majorEastAsia"/>
        </w:rPr>
        <w:t xml:space="preserve"> </w:t>
      </w:r>
      <w:r w:rsidRPr="00651387">
        <w:t xml:space="preserve">at </w:t>
      </w:r>
      <w:r>
        <w:t>52, 58</w:t>
      </w:r>
      <w:r w:rsidRPr="00651387">
        <w:t>.</w:t>
      </w:r>
    </w:p>
  </w:footnote>
  <w:footnote w:id="53">
    <w:p w14:paraId="73F1571B" w14:textId="77777777" w:rsidR="009B57A6" w:rsidRPr="001051C3" w:rsidRDefault="009B57A6" w:rsidP="009B57A6">
      <w:pPr>
        <w:pStyle w:val="FootnoteText"/>
        <w:rPr>
          <w:i/>
        </w:rPr>
      </w:pPr>
      <w:r>
        <w:rPr>
          <w:rStyle w:val="FootnoteReference"/>
        </w:rPr>
        <w:footnoteRef/>
      </w:r>
      <w:r>
        <w:t xml:space="preserve"> </w:t>
      </w:r>
      <w:r>
        <w:rPr>
          <w:i/>
        </w:rPr>
        <w:t>Id.</w:t>
      </w:r>
      <w:r w:rsidRPr="001051C3">
        <w:rPr>
          <w:i/>
        </w:rPr>
        <w:t xml:space="preserve"> </w:t>
      </w:r>
      <w:r>
        <w:rPr>
          <w:i/>
        </w:rPr>
        <w:t xml:space="preserve">See also </w:t>
      </w:r>
      <w:r>
        <w:t>Charter §§ 3403-d, 236–254 (providing a timeline for the Racial Equity Planning process and for the budget process).</w:t>
      </w:r>
    </w:p>
  </w:footnote>
  <w:footnote w:id="54">
    <w:p w14:paraId="0CA78FDD" w14:textId="77777777" w:rsidR="009B57A6" w:rsidRDefault="009B57A6" w:rsidP="009B57A6">
      <w:pPr>
        <w:pStyle w:val="FootnoteText"/>
      </w:pPr>
      <w:r>
        <w:rPr>
          <w:rStyle w:val="FootnoteReference"/>
        </w:rPr>
        <w:footnoteRef/>
      </w:r>
      <w:r>
        <w:t xml:space="preserve"> Charter §§ 3403-d.2, Charter § 3403-d.4. </w:t>
      </w:r>
    </w:p>
  </w:footnote>
  <w:footnote w:id="55">
    <w:p w14:paraId="1346B7E0" w14:textId="77777777" w:rsidR="009B57A6" w:rsidRDefault="009B57A6" w:rsidP="009B57A6">
      <w:pPr>
        <w:pStyle w:val="FootnoteText"/>
      </w:pPr>
      <w:r>
        <w:rPr>
          <w:rStyle w:val="FootnoteReference"/>
        </w:rPr>
        <w:footnoteRef/>
      </w:r>
      <w:r>
        <w:t xml:space="preserve"> Charter § 3403-d.</w:t>
      </w:r>
    </w:p>
  </w:footnote>
  <w:footnote w:id="56">
    <w:p w14:paraId="1B08D4C2" w14:textId="77777777" w:rsidR="009B57A6" w:rsidRPr="00B94B17" w:rsidRDefault="009B57A6" w:rsidP="009B57A6">
      <w:pPr>
        <w:pStyle w:val="FootnoteText"/>
      </w:pPr>
      <w:r w:rsidRPr="00B94B17">
        <w:rPr>
          <w:rStyle w:val="FootnoteReference"/>
        </w:rPr>
        <w:footnoteRef/>
      </w:r>
      <w:r w:rsidRPr="00B94B17">
        <w:t xml:space="preserve"> Charter §§ 236, 3403(d)(2), 3403(d)(6).</w:t>
      </w:r>
    </w:p>
  </w:footnote>
  <w:footnote w:id="57">
    <w:p w14:paraId="3CD6DBC9" w14:textId="77777777" w:rsidR="009B57A6" w:rsidRPr="002B11B3" w:rsidRDefault="009B57A6" w:rsidP="009B57A6">
      <w:pPr>
        <w:pStyle w:val="FootnoteText"/>
      </w:pPr>
      <w:r>
        <w:rPr>
          <w:rStyle w:val="FootnoteReference"/>
        </w:rPr>
        <w:footnoteRef/>
      </w:r>
      <w:r>
        <w:t xml:space="preserve"> </w:t>
      </w:r>
      <w:r>
        <w:rPr>
          <w:i/>
          <w:iCs/>
        </w:rPr>
        <w:t xml:space="preserve">Mayor Mamdani Appoints Afua-Atta Mensah as Chief Equity Officer and Commissioner of the Mayor’s Office of Equity and Racial Justice, </w:t>
      </w:r>
      <w:r>
        <w:t xml:space="preserve">Office of the Mayor. (Jan 15, 2026) Available at: </w:t>
      </w:r>
      <w:hyperlink r:id="rId32" w:history="1">
        <w:r w:rsidRPr="008F61AE">
          <w:rPr>
            <w:rStyle w:val="Hyperlink"/>
            <w:rFonts w:eastAsiaTheme="majorEastAsia"/>
          </w:rPr>
          <w:t>https://www.nyc.gov/mayors-office/news/2026/01/mayor-mamdani-appoints-afua-atta-mensah-as-chief-equity-officer-</w:t>
        </w:r>
      </w:hyperlink>
      <w:r>
        <w:t xml:space="preserve"> </w:t>
      </w:r>
    </w:p>
  </w:footnote>
  <w:footnote w:id="58">
    <w:p w14:paraId="19BA8889" w14:textId="77777777" w:rsidR="009B57A6" w:rsidRPr="00712725" w:rsidRDefault="009B57A6" w:rsidP="009B57A6">
      <w:pPr>
        <w:pStyle w:val="FootnoteText"/>
      </w:pPr>
      <w:r>
        <w:rPr>
          <w:rStyle w:val="FootnoteReference"/>
        </w:rPr>
        <w:footnoteRef/>
      </w:r>
      <w:r>
        <w:t xml:space="preserve"> </w:t>
      </w:r>
      <w:r>
        <w:rPr>
          <w:i/>
          <w:iCs/>
        </w:rPr>
        <w:t xml:space="preserve">Mayor Mamdani Releases Balanced Fiscal Year 2027 Preliminary Budget, </w:t>
      </w:r>
      <w:r>
        <w:t xml:space="preserve">Office of the Mayor. (Feb 17, 2026) Available at: </w:t>
      </w:r>
      <w:r w:rsidRPr="00392FCE">
        <w:t>https://www.nyc.gov/mayors-office/news/2026/02/mayor-mamdani-releases-balanced-fiscal-year-2027-preliminary-bud</w:t>
      </w:r>
    </w:p>
  </w:footnote>
  <w:footnote w:id="59">
    <w:p w14:paraId="2414B36F" w14:textId="77777777" w:rsidR="009B57A6" w:rsidRPr="00BC37E1" w:rsidRDefault="009B57A6" w:rsidP="009B57A6">
      <w:pPr>
        <w:pStyle w:val="FootnoteText"/>
        <w:rPr>
          <w:i/>
          <w:iCs/>
        </w:rPr>
      </w:pPr>
      <w:r w:rsidRPr="00651387">
        <w:rPr>
          <w:rStyle w:val="FootnoteReference"/>
        </w:rPr>
        <w:footnoteRef/>
      </w:r>
      <w:r w:rsidRPr="00651387">
        <w:t xml:space="preserve"> </w:t>
      </w:r>
      <w:r>
        <w:t xml:space="preserve">Charter § 16-c. </w:t>
      </w:r>
      <w:r w:rsidRPr="00BC37E1">
        <w:rPr>
          <w:i/>
        </w:rPr>
        <w:t>S</w:t>
      </w:r>
      <w:r>
        <w:rPr>
          <w:i/>
        </w:rPr>
        <w:t xml:space="preserve">ee also </w:t>
      </w:r>
      <w:r w:rsidRPr="00651387">
        <w:rPr>
          <w:i/>
          <w:iCs/>
        </w:rPr>
        <w:t>NYC For Racial Justice: Final Report of the NYC Racial Justice Commission</w:t>
      </w:r>
      <w:r w:rsidRPr="00651387">
        <w:t xml:space="preserve"> at 81.</w:t>
      </w:r>
    </w:p>
  </w:footnote>
  <w:footnote w:id="60">
    <w:p w14:paraId="49345DA0" w14:textId="77777777" w:rsidR="009B57A6" w:rsidRPr="00651387" w:rsidRDefault="009B57A6" w:rsidP="009B57A6">
      <w:pPr>
        <w:pStyle w:val="FootnoteText"/>
      </w:pPr>
      <w:r w:rsidRPr="00651387">
        <w:rPr>
          <w:rStyle w:val="FootnoteReference"/>
        </w:rPr>
        <w:footnoteRef/>
      </w:r>
      <w:r w:rsidRPr="00651387">
        <w:t xml:space="preserve"> </w:t>
      </w:r>
      <w:r w:rsidRPr="00651387">
        <w:rPr>
          <w:i/>
          <w:iCs/>
        </w:rPr>
        <w:t>NYC For Racial Justice: Final Report of the NYC Racial Justice Commission</w:t>
      </w:r>
      <w:r w:rsidRPr="00651387">
        <w:t xml:space="preserve"> at 81.</w:t>
      </w:r>
    </w:p>
  </w:footnote>
  <w:footnote w:id="61">
    <w:p w14:paraId="78F894B8" w14:textId="77777777" w:rsidR="009B57A6" w:rsidRDefault="009B57A6" w:rsidP="009B57A6">
      <w:pPr>
        <w:pStyle w:val="FootnoteText"/>
      </w:pPr>
      <w:r>
        <w:rPr>
          <w:rStyle w:val="FootnoteReference"/>
        </w:rPr>
        <w:footnoteRef/>
      </w:r>
      <w:r>
        <w:t xml:space="preserve"> Charter § 16-c.1(c).</w:t>
      </w:r>
    </w:p>
  </w:footnote>
  <w:footnote w:id="62">
    <w:p w14:paraId="736E4FA0" w14:textId="77777777" w:rsidR="009B57A6" w:rsidRPr="00651387" w:rsidRDefault="009B57A6" w:rsidP="009B57A6">
      <w:pPr>
        <w:pStyle w:val="FootnoteText"/>
      </w:pPr>
      <w:r w:rsidRPr="00651387">
        <w:rPr>
          <w:rStyle w:val="FootnoteReference"/>
        </w:rPr>
        <w:footnoteRef/>
      </w:r>
      <w:r w:rsidRPr="00651387">
        <w:t xml:space="preserve"> </w:t>
      </w:r>
      <w:r w:rsidRPr="00651387">
        <w:rPr>
          <w:i/>
          <w:iCs/>
        </w:rPr>
        <w:t>NYC For Racial Justice: Final Report of the NYC Racial Justice Commission</w:t>
      </w:r>
      <w:r w:rsidRPr="00651387">
        <w:t xml:space="preserve"> at 81.</w:t>
      </w:r>
    </w:p>
  </w:footnote>
  <w:footnote w:id="63">
    <w:p w14:paraId="69F1A5D5" w14:textId="77777777" w:rsidR="009B57A6" w:rsidRPr="00651387" w:rsidRDefault="009B57A6" w:rsidP="009B57A6">
      <w:pPr>
        <w:pStyle w:val="FootnoteText"/>
      </w:pPr>
      <w:r w:rsidRPr="00651387">
        <w:rPr>
          <w:rStyle w:val="FootnoteReference"/>
        </w:rPr>
        <w:footnoteRef/>
      </w:r>
      <w:r w:rsidRPr="00651387">
        <w:t xml:space="preserve"> The RJC acknowledges that the City has developed its own poverty measure but asserts that it remains inaccurate as it calculates public assistance as part of income and measures poverty as a baseline instead of developing a baseline income that allows a person or family to meet all their needs. Id. at 82.</w:t>
      </w:r>
    </w:p>
  </w:footnote>
  <w:footnote w:id="64">
    <w:p w14:paraId="7673CE31" w14:textId="77777777" w:rsidR="009B57A6" w:rsidRPr="00651387" w:rsidRDefault="009B57A6" w:rsidP="009B57A6">
      <w:pPr>
        <w:pStyle w:val="FootnoteText"/>
      </w:pPr>
      <w:r w:rsidRPr="00651387">
        <w:rPr>
          <w:rStyle w:val="FootnoteReference"/>
        </w:rPr>
        <w:footnoteRef/>
      </w:r>
      <w:r w:rsidRPr="00651387">
        <w:t xml:space="preserve"> Id.</w:t>
      </w:r>
    </w:p>
  </w:footnote>
  <w:footnote w:id="65">
    <w:p w14:paraId="53BA2AA1" w14:textId="77777777" w:rsidR="009B57A6" w:rsidRPr="00651387" w:rsidRDefault="009B57A6" w:rsidP="009B57A6">
      <w:pPr>
        <w:pStyle w:val="FootnoteText"/>
      </w:pPr>
      <w:r w:rsidRPr="00651387">
        <w:rPr>
          <w:rStyle w:val="FootnoteReference"/>
        </w:rPr>
        <w:footnoteRef/>
      </w:r>
      <w:r w:rsidRPr="00651387">
        <w:t xml:space="preserve"> Id. at 82-83.</w:t>
      </w:r>
    </w:p>
  </w:footnote>
  <w:footnote w:id="66">
    <w:p w14:paraId="28025402" w14:textId="77777777" w:rsidR="009B57A6" w:rsidRPr="00651387" w:rsidRDefault="009B57A6" w:rsidP="009B57A6">
      <w:pPr>
        <w:pStyle w:val="FootnoteText"/>
      </w:pPr>
      <w:r w:rsidRPr="00651387">
        <w:rPr>
          <w:rStyle w:val="FootnoteReference"/>
        </w:rPr>
        <w:footnoteRef/>
      </w:r>
      <w:r w:rsidRPr="00651387">
        <w:t>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6A447" w14:textId="14808294" w:rsidR="009B57A6" w:rsidRDefault="009B57A6">
    <w:pPr>
      <w:pStyle w:val="Header"/>
    </w:pPr>
    <w:r>
      <w:rPr>
        <w:noProof/>
      </w:rPr>
      <mc:AlternateContent>
        <mc:Choice Requires="wps">
          <w:drawing>
            <wp:anchor distT="0" distB="0" distL="114300" distR="114300" simplePos="0" relativeHeight="251657216" behindDoc="1" locked="0" layoutInCell="0" allowOverlap="1" wp14:anchorId="7C5D8B51" wp14:editId="309D1021">
              <wp:simplePos x="0" y="0"/>
              <wp:positionH relativeFrom="margin">
                <wp:align>center</wp:align>
              </wp:positionH>
              <wp:positionV relativeFrom="margin">
                <wp:align>center</wp:align>
              </wp:positionV>
              <wp:extent cx="5985510" cy="2393950"/>
              <wp:effectExtent l="0" t="1524000" r="0" b="1377950"/>
              <wp:wrapNone/>
              <wp:docPr id="45501949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91DD7F3" w14:textId="77777777" w:rsidR="009B57A6" w:rsidRDefault="009B57A6" w:rsidP="009B57A6">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C5D8B51" id="_x0000_t202" coordsize="21600,21600" o:spt="202" path="m,l,21600r21600,l21600,xe">
              <v:stroke joinstyle="miter"/>
              <v:path gradientshapeok="t" o:connecttype="rect"/>
            </v:shapetype>
            <v:shape id="Text Box 1" o:spid="_x0000_s1026" type="#_x0000_t202" style="position:absolute;margin-left:0;margin-top:0;width:471.3pt;height:188.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691DD7F3" w14:textId="77777777" w:rsidR="009B57A6" w:rsidRDefault="009B57A6" w:rsidP="009B57A6">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47F19" w14:textId="1E341EFB" w:rsidR="009B57A6" w:rsidRDefault="009B57A6">
    <w:pPr>
      <w:pStyle w:val="Header"/>
    </w:pPr>
    <w:r>
      <w:rPr>
        <w:noProof/>
      </w:rPr>
      <mc:AlternateContent>
        <mc:Choice Requires="wps">
          <w:drawing>
            <wp:anchor distT="0" distB="0" distL="114300" distR="114300" simplePos="0" relativeHeight="251658240" behindDoc="1" locked="0" layoutInCell="0" allowOverlap="1" wp14:anchorId="737A13BF" wp14:editId="1CD122E3">
              <wp:simplePos x="0" y="0"/>
              <wp:positionH relativeFrom="margin">
                <wp:align>center</wp:align>
              </wp:positionH>
              <wp:positionV relativeFrom="margin">
                <wp:align>center</wp:align>
              </wp:positionV>
              <wp:extent cx="5985510" cy="2393950"/>
              <wp:effectExtent l="0" t="1524000" r="0" b="1377950"/>
              <wp:wrapNone/>
              <wp:docPr id="10692484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CA4F6D" w14:textId="77777777" w:rsidR="009B57A6" w:rsidRDefault="009B57A6" w:rsidP="009B57A6">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37A13BF" id="_x0000_t202" coordsize="21600,21600" o:spt="202" path="m,l,21600r21600,l21600,xe">
              <v:stroke joinstyle="miter"/>
              <v:path gradientshapeok="t" o:connecttype="rect"/>
            </v:shapetype>
            <v:shape id="Text Box 2" o:spid="_x0000_s1027"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26CA4F6D" w14:textId="77777777" w:rsidR="009B57A6" w:rsidRDefault="009B57A6" w:rsidP="009B57A6">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D1074" w14:textId="77777777" w:rsidR="009B57A6" w:rsidRDefault="009B57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87864"/>
    <w:multiLevelType w:val="hybridMultilevel"/>
    <w:tmpl w:val="DB2A64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68ED1D85"/>
    <w:multiLevelType w:val="hybridMultilevel"/>
    <w:tmpl w:val="67B4E5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44D7DE6"/>
    <w:multiLevelType w:val="hybridMultilevel"/>
    <w:tmpl w:val="8C16C8E0"/>
    <w:lvl w:ilvl="0" w:tplc="9E14F2AA">
      <w:start w:val="1"/>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32989821">
    <w:abstractNumId w:val="2"/>
  </w:num>
  <w:num w:numId="2" w16cid:durableId="382560969">
    <w:abstractNumId w:val="0"/>
  </w:num>
  <w:num w:numId="3" w16cid:durableId="2091155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7A6"/>
    <w:rsid w:val="00016680"/>
    <w:rsid w:val="00085CC1"/>
    <w:rsid w:val="001002B7"/>
    <w:rsid w:val="0022226A"/>
    <w:rsid w:val="004D4C65"/>
    <w:rsid w:val="005C6AA7"/>
    <w:rsid w:val="00713A6C"/>
    <w:rsid w:val="00740C7C"/>
    <w:rsid w:val="00923FE8"/>
    <w:rsid w:val="00953C9F"/>
    <w:rsid w:val="009B57A6"/>
    <w:rsid w:val="00AA4EBC"/>
    <w:rsid w:val="00B73AAE"/>
    <w:rsid w:val="00BF6188"/>
    <w:rsid w:val="00E4797D"/>
    <w:rsid w:val="00E65F15"/>
    <w:rsid w:val="00F12261"/>
    <w:rsid w:val="00F57F55"/>
    <w:rsid w:val="00FB4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30F3D"/>
  <w15:chartTrackingRefBased/>
  <w15:docId w15:val="{D3C6D271-B19A-4B92-BE24-E6E576609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7A6"/>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B57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57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57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57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57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57A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57A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57A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57A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7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57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57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57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57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57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57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57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57A6"/>
    <w:rPr>
      <w:rFonts w:eastAsiaTheme="majorEastAsia" w:cstheme="majorBidi"/>
      <w:color w:val="272727" w:themeColor="text1" w:themeTint="D8"/>
    </w:rPr>
  </w:style>
  <w:style w:type="paragraph" w:styleId="Title">
    <w:name w:val="Title"/>
    <w:basedOn w:val="Normal"/>
    <w:next w:val="Normal"/>
    <w:link w:val="TitleChar"/>
    <w:uiPriority w:val="10"/>
    <w:qFormat/>
    <w:rsid w:val="009B57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57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57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57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57A6"/>
    <w:pPr>
      <w:spacing w:before="160"/>
      <w:jc w:val="center"/>
    </w:pPr>
    <w:rPr>
      <w:i/>
      <w:iCs/>
      <w:color w:val="404040" w:themeColor="text1" w:themeTint="BF"/>
    </w:rPr>
  </w:style>
  <w:style w:type="character" w:customStyle="1" w:styleId="QuoteChar">
    <w:name w:val="Quote Char"/>
    <w:basedOn w:val="DefaultParagraphFont"/>
    <w:link w:val="Quote"/>
    <w:uiPriority w:val="29"/>
    <w:rsid w:val="009B57A6"/>
    <w:rPr>
      <w:i/>
      <w:iCs/>
      <w:color w:val="404040" w:themeColor="text1" w:themeTint="BF"/>
    </w:rPr>
  </w:style>
  <w:style w:type="paragraph" w:styleId="ListParagraph">
    <w:name w:val="List Paragraph"/>
    <w:basedOn w:val="Normal"/>
    <w:uiPriority w:val="34"/>
    <w:qFormat/>
    <w:rsid w:val="009B57A6"/>
    <w:pPr>
      <w:ind w:left="720"/>
      <w:contextualSpacing/>
    </w:pPr>
  </w:style>
  <w:style w:type="character" w:styleId="IntenseEmphasis">
    <w:name w:val="Intense Emphasis"/>
    <w:basedOn w:val="DefaultParagraphFont"/>
    <w:uiPriority w:val="21"/>
    <w:qFormat/>
    <w:rsid w:val="009B57A6"/>
    <w:rPr>
      <w:i/>
      <w:iCs/>
      <w:color w:val="0F4761" w:themeColor="accent1" w:themeShade="BF"/>
    </w:rPr>
  </w:style>
  <w:style w:type="paragraph" w:styleId="IntenseQuote">
    <w:name w:val="Intense Quote"/>
    <w:basedOn w:val="Normal"/>
    <w:next w:val="Normal"/>
    <w:link w:val="IntenseQuoteChar"/>
    <w:uiPriority w:val="30"/>
    <w:qFormat/>
    <w:rsid w:val="009B57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57A6"/>
    <w:rPr>
      <w:i/>
      <w:iCs/>
      <w:color w:val="0F4761" w:themeColor="accent1" w:themeShade="BF"/>
    </w:rPr>
  </w:style>
  <w:style w:type="character" w:styleId="IntenseReference">
    <w:name w:val="Intense Reference"/>
    <w:basedOn w:val="DefaultParagraphFont"/>
    <w:uiPriority w:val="32"/>
    <w:qFormat/>
    <w:rsid w:val="009B57A6"/>
    <w:rPr>
      <w:b/>
      <w:bCs/>
      <w:smallCaps/>
      <w:color w:val="0F4761" w:themeColor="accent1" w:themeShade="BF"/>
      <w:spacing w:val="5"/>
    </w:rPr>
  </w:style>
  <w:style w:type="character" w:styleId="LineNumber">
    <w:name w:val="line number"/>
    <w:basedOn w:val="DefaultParagraphFont"/>
    <w:uiPriority w:val="99"/>
    <w:semiHidden/>
    <w:unhideWhenUsed/>
    <w:rsid w:val="009B57A6"/>
  </w:style>
  <w:style w:type="character" w:customStyle="1" w:styleId="ui-provider">
    <w:name w:val="ui-provider"/>
    <w:basedOn w:val="DefaultParagraphFont"/>
    <w:rsid w:val="009B57A6"/>
  </w:style>
  <w:style w:type="character" w:styleId="Hyperlink">
    <w:name w:val="Hyperlink"/>
    <w:basedOn w:val="DefaultParagraphFont"/>
    <w:uiPriority w:val="99"/>
    <w:unhideWhenUsed/>
    <w:rsid w:val="009B57A6"/>
    <w:rPr>
      <w:color w:val="0000FF"/>
      <w:u w:val="single"/>
    </w:rPr>
  </w:style>
  <w:style w:type="character" w:styleId="CommentReference">
    <w:name w:val="annotation reference"/>
    <w:basedOn w:val="DefaultParagraphFont"/>
    <w:uiPriority w:val="99"/>
    <w:semiHidden/>
    <w:unhideWhenUsed/>
    <w:rsid w:val="009B57A6"/>
    <w:rPr>
      <w:sz w:val="16"/>
      <w:szCs w:val="16"/>
    </w:rPr>
  </w:style>
  <w:style w:type="paragraph" w:styleId="CommentText">
    <w:name w:val="annotation text"/>
    <w:basedOn w:val="Normal"/>
    <w:link w:val="CommentTextChar"/>
    <w:uiPriority w:val="99"/>
    <w:unhideWhenUsed/>
    <w:rsid w:val="009B57A6"/>
    <w:rPr>
      <w:sz w:val="20"/>
      <w:szCs w:val="20"/>
    </w:rPr>
  </w:style>
  <w:style w:type="character" w:customStyle="1" w:styleId="CommentTextChar">
    <w:name w:val="Comment Text Char"/>
    <w:basedOn w:val="DefaultParagraphFont"/>
    <w:link w:val="CommentText"/>
    <w:uiPriority w:val="99"/>
    <w:rsid w:val="009B57A6"/>
    <w:rPr>
      <w:rFonts w:ascii="Times New Roman" w:eastAsia="Times New Roman" w:hAnsi="Times New Roman" w:cs="Times New Roman"/>
      <w:kern w:val="0"/>
      <w:sz w:val="20"/>
      <w:szCs w:val="20"/>
      <w14:ligatures w14:val="none"/>
    </w:rPr>
  </w:style>
  <w:style w:type="paragraph" w:styleId="FootnoteText">
    <w:name w:val="footnote text"/>
    <w:aliases w:val="FT"/>
    <w:basedOn w:val="Normal"/>
    <w:link w:val="FootnoteTextChar"/>
    <w:uiPriority w:val="99"/>
    <w:unhideWhenUsed/>
    <w:rsid w:val="009B57A6"/>
    <w:rPr>
      <w:sz w:val="20"/>
      <w:szCs w:val="20"/>
    </w:rPr>
  </w:style>
  <w:style w:type="character" w:customStyle="1" w:styleId="FootnoteTextChar">
    <w:name w:val="Footnote Text Char"/>
    <w:aliases w:val="FT Char"/>
    <w:basedOn w:val="DefaultParagraphFont"/>
    <w:link w:val="FootnoteText"/>
    <w:uiPriority w:val="99"/>
    <w:rsid w:val="009B57A6"/>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unhideWhenUsed/>
    <w:rsid w:val="009B57A6"/>
    <w:rPr>
      <w:vertAlign w:val="superscript"/>
    </w:rPr>
  </w:style>
  <w:style w:type="paragraph" w:styleId="Header">
    <w:name w:val="header"/>
    <w:basedOn w:val="Normal"/>
    <w:link w:val="HeaderChar"/>
    <w:uiPriority w:val="99"/>
    <w:unhideWhenUsed/>
    <w:rsid w:val="009B57A6"/>
    <w:pPr>
      <w:tabs>
        <w:tab w:val="center" w:pos="4680"/>
        <w:tab w:val="right" w:pos="9360"/>
      </w:tabs>
    </w:pPr>
  </w:style>
  <w:style w:type="character" w:customStyle="1" w:styleId="HeaderChar">
    <w:name w:val="Header Char"/>
    <w:basedOn w:val="DefaultParagraphFont"/>
    <w:link w:val="Header"/>
    <w:uiPriority w:val="99"/>
    <w:rsid w:val="009B57A6"/>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9B57A6"/>
    <w:pPr>
      <w:tabs>
        <w:tab w:val="center" w:pos="4680"/>
        <w:tab w:val="right" w:pos="9360"/>
      </w:tabs>
    </w:pPr>
  </w:style>
  <w:style w:type="character" w:customStyle="1" w:styleId="FooterChar">
    <w:name w:val="Footer Char"/>
    <w:basedOn w:val="DefaultParagraphFont"/>
    <w:link w:val="Footer"/>
    <w:uiPriority w:val="99"/>
    <w:rsid w:val="009B57A6"/>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9B57A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F6188"/>
    <w:rPr>
      <w:b/>
      <w:bCs/>
    </w:rPr>
  </w:style>
  <w:style w:type="character" w:customStyle="1" w:styleId="CommentSubjectChar">
    <w:name w:val="Comment Subject Char"/>
    <w:basedOn w:val="CommentTextChar"/>
    <w:link w:val="CommentSubject"/>
    <w:uiPriority w:val="99"/>
    <w:semiHidden/>
    <w:rsid w:val="00BF6188"/>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5C6AA7"/>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publicschoolreview.com/blog/nyc-schools-still-most-segregated-in-2025?utm_source=chatgpt.com" TargetMode="External"/><Relationship Id="rId13" Type="http://schemas.openxmlformats.org/officeDocument/2006/relationships/hyperlink" Target="https://ad1a3eae-9408-4799-abeb-aa6ebc798f5b.usrfiles.com/ugd/ccf12e_06a44ca4995a40d7944b361219f9a6d8.pdf" TargetMode="External"/><Relationship Id="rId18" Type="http://schemas.openxmlformats.org/officeDocument/2006/relationships/hyperlink" Target="https://robinhood.org/wp-content/uploads/2023/08/POVERTY_TRACKER_REPORT25.pdf" TargetMode="External"/><Relationship Id="rId26" Type="http://schemas.openxmlformats.org/officeDocument/2006/relationships/hyperlink" Target="https://www.nyc.gov/content/core/pages/community-equity-priorities-and-outcome-indicators" TargetMode="External"/><Relationship Id="rId3" Type="http://schemas.openxmlformats.org/officeDocument/2006/relationships/hyperlink" Target="https://publichealth.berkeley.edu/news-media/research-highlights/50-years-after-being-outlawed-redlining-still-drives-neighborhood-health-inequities" TargetMode="External"/><Relationship Id="rId21" Type="http://schemas.openxmlformats.org/officeDocument/2006/relationships/hyperlink" Target="https://robinhood.org/wp-content/uploads/2023/08/POVERTY_TRACKER_REPORT25.pdf" TargetMode="External"/><Relationship Id="rId7" Type="http://schemas.openxmlformats.org/officeDocument/2006/relationships/hyperlink" Target="https://www.publicschoolreview.com/blog/nyc-schools-still-most-segregated-in-2025?utm_source=chatgpt.com" TargetMode="External"/><Relationship Id="rId12" Type="http://schemas.openxmlformats.org/officeDocument/2006/relationships/hyperlink" Target="https://codelibrary.amlegal.com/codes/newyorkcity/latest/NYCcharter/0-0-0-4" TargetMode="External"/><Relationship Id="rId17" Type="http://schemas.openxmlformats.org/officeDocument/2006/relationships/hyperlink" Target="https://robinhood.org/wp-content/uploads/2023/08/POVERTY_TRACKER_REPORT25.pdf" TargetMode="External"/><Relationship Id="rId25" Type="http://schemas.openxmlformats.org/officeDocument/2006/relationships/hyperlink" Target="https://www.nyc.gov/content/core/pages/community-equity-priorities-and-outcome-indicators" TargetMode="External"/><Relationship Id="rId2" Type="http://schemas.openxmlformats.org/officeDocument/2006/relationships/hyperlink" Target="https://a816-dohbesp.nyc.gov/IndicatorPublic/data-stories/redlining/" TargetMode="External"/><Relationship Id="rId16" Type="http://schemas.openxmlformats.org/officeDocument/2006/relationships/hyperlink" Target="https://robinhood.org/wp-content/uploads/2023/08/POVERTY_TRACKER_REPORT25.pdf" TargetMode="External"/><Relationship Id="rId20" Type="http://schemas.openxmlformats.org/officeDocument/2006/relationships/hyperlink" Target="https://robinhood.org/wp-content/uploads/2023/08/POVERTY_TRACKER_REPORT25.pdf" TargetMode="External"/><Relationship Id="rId29" Type="http://schemas.openxmlformats.org/officeDocument/2006/relationships/hyperlink" Target="https://www.nyc.gov/content/core/pages/community-equity-priorities-and-outcome-indicators" TargetMode="External"/><Relationship Id="rId1" Type="http://schemas.openxmlformats.org/officeDocument/2006/relationships/hyperlink" Target="https://a816-dohbesp.nyc.gov/IndicatorPublic/data-stories/redlining/" TargetMode="External"/><Relationship Id="rId6" Type="http://schemas.openxmlformats.org/officeDocument/2006/relationships/hyperlink" Target="https://www.publicschoolreview.com/blog/nyc-schools-still-most-segregated-in-2025?utm_source=chatgpt.com" TargetMode="External"/><Relationship Id="rId11" Type="http://schemas.openxmlformats.org/officeDocument/2006/relationships/hyperlink" Target="https://stateline.org/2025/10/07/us-prison-population-rises-for-second-straight-year/" TargetMode="External"/><Relationship Id="rId24" Type="http://schemas.openxmlformats.org/officeDocument/2006/relationships/hyperlink" Target="https://www.nyc.gov/content/core/pages/community-equity-priorities-and-outcome-indicators" TargetMode="External"/><Relationship Id="rId32" Type="http://schemas.openxmlformats.org/officeDocument/2006/relationships/hyperlink" Target="https://www.nyc.gov/mayors-office/news/2026/01/mayor-mamdani-appoints-afua-atta-mensah-as-chief-equity-officer-" TargetMode="External"/><Relationship Id="rId5" Type="http://schemas.openxmlformats.org/officeDocument/2006/relationships/hyperlink" Target="https://pmc.ncbi.nlm.nih.gov/articles/PMC9901820/" TargetMode="External"/><Relationship Id="rId15" Type="http://schemas.openxmlformats.org/officeDocument/2006/relationships/hyperlink" Target="https://robinhood.org/wp-content/uploads/2023/08/POVERTY_TRACKER_REPORT25.pdf" TargetMode="External"/><Relationship Id="rId23" Type="http://schemas.openxmlformats.org/officeDocument/2006/relationships/hyperlink" Target="https://www.nyc.gov/content/core/pages/community-equity-priorities-and-outcome-indicators" TargetMode="External"/><Relationship Id="rId28" Type="http://schemas.openxmlformats.org/officeDocument/2006/relationships/hyperlink" Target="https://www.nyc.gov/content/core/pages/community-equity-priorities-and-outcome-indicators" TargetMode="External"/><Relationship Id="rId10" Type="http://schemas.openxmlformats.org/officeDocument/2006/relationships/hyperlink" Target="https://www.squareonejustice.org/wp-content/uploads/2019/10/roundtable-oct2018-Racial-History-of-Criminal-Justice-in-America-by-Heather-Ann-Thompson.pdf" TargetMode="External"/><Relationship Id="rId19" Type="http://schemas.openxmlformats.org/officeDocument/2006/relationships/hyperlink" Target="https://robinhood.org/wp-content/uploads/2023/08/POVERTY_TRACKER_REPORT25.pdf" TargetMode="External"/><Relationship Id="rId31" Type="http://schemas.openxmlformats.org/officeDocument/2006/relationships/hyperlink" Target="https://racialjustice.cityofnewyork.us/wp-content/uploads/2022/05/Final-Report-of-the-NYC-Racial-Justice-Commission.pdf" TargetMode="External"/><Relationship Id="rId4" Type="http://schemas.openxmlformats.org/officeDocument/2006/relationships/hyperlink" Target="https://a816-dohbesp.nyc.gov/IndicatorPublic/data-stories/redlining/" TargetMode="External"/><Relationship Id="rId9" Type="http://schemas.openxmlformats.org/officeDocument/2006/relationships/hyperlink" Target="https://edsource.org/updates/exceptional-barriers-stop-black-students-from-succeeding-in-higher-ed" TargetMode="External"/><Relationship Id="rId14" Type="http://schemas.openxmlformats.org/officeDocument/2006/relationships/hyperlink" Target="https://robinhood.org/wp-content/uploads/2023/08/POVERTY_TRACKER_REPORT25.pdf" TargetMode="External"/><Relationship Id="rId22" Type="http://schemas.openxmlformats.org/officeDocument/2006/relationships/hyperlink" Target="https://robinhood.org/wp-content/uploads/2023/08/POVERTY_TRACKER_REPORT25.pdf" TargetMode="External"/><Relationship Id="rId27" Type="http://schemas.openxmlformats.org/officeDocument/2006/relationships/hyperlink" Target="https://www.nyc.gov/content/core/pages/community-equity-priorities-and-outcome-indicators" TargetMode="External"/><Relationship Id="rId30" Type="http://schemas.openxmlformats.org/officeDocument/2006/relationships/hyperlink" Target="https://racialjustice.cityofnewyork.us/wp-content/uploads/2022/05/Final-Report-of-the-NYC-Racial-Justice-Commiss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11</Pages>
  <Words>2042</Words>
  <Characters>11644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Boulet, Jessica</dc:creator>
  <cp:keywords/>
  <dc:description/>
  <cp:lastModifiedBy>Boulet, Jessica</cp:lastModifiedBy>
  <cp:revision>3</cp:revision>
  <dcterms:created xsi:type="dcterms:W3CDTF">2026-02-26T05:11:00Z</dcterms:created>
  <dcterms:modified xsi:type="dcterms:W3CDTF">2026-02-26T18:43:00Z</dcterms:modified>
</cp:coreProperties>
</file>