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D1AD" w14:textId="77777777" w:rsidR="00AB2FC7" w:rsidRDefault="007D07AD">
      <w:pPr>
        <w:pStyle w:val="Heading1"/>
        <w:spacing w:before="0" w:after="12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New York City Council </w:t>
      </w:r>
    </w:p>
    <w:p w14:paraId="07D3D1AE" w14:textId="77777777" w:rsidR="00AB2FC7" w:rsidRDefault="00AB2FC7">
      <w:pPr>
        <w:pStyle w:val="Heading2"/>
        <w:spacing w:before="0" w:after="120" w:line="240" w:lineRule="auto"/>
        <w:rPr>
          <w:rFonts w:ascii="Georgia" w:eastAsia="Georgia" w:hAnsi="Georgia" w:cs="Georgia"/>
          <w:sz w:val="24"/>
          <w:szCs w:val="24"/>
        </w:rPr>
      </w:pPr>
    </w:p>
    <w:p w14:paraId="07D3D1AF" w14:textId="77777777" w:rsidR="00AB2FC7" w:rsidRDefault="007D07AD">
      <w:pPr>
        <w:pStyle w:val="Heading2"/>
        <w:spacing w:before="0" w:after="12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Memorandum in Support of Legislation</w:t>
      </w:r>
    </w:p>
    <w:p w14:paraId="07D3D1B0" w14:textId="77777777" w:rsidR="00AB2FC7" w:rsidRDefault="007D07AD">
      <w:pPr>
        <w:spacing w:after="120" w:line="240" w:lineRule="auto"/>
        <w:rPr>
          <w:rFonts w:ascii="Georgia" w:eastAsia="Georgia" w:hAnsi="Georgia" w:cs="Georgia"/>
          <w:color w:val="4F81BD"/>
          <w:sz w:val="24"/>
          <w:szCs w:val="24"/>
        </w:rPr>
      </w:pPr>
      <w:r>
        <w:rPr>
          <w:rFonts w:ascii="Georgia" w:eastAsia="Georgia" w:hAnsi="Georgia" w:cs="Georgia"/>
          <w:color w:val="4F81BD"/>
          <w:sz w:val="24"/>
          <w:szCs w:val="24"/>
        </w:rPr>
        <w:t xml:space="preserve">This memorandum is authored by the sponsor and explains the need for the legislation referenced below, in accordance with Rule 6.00(d) of the Rules of the Council. </w:t>
      </w:r>
    </w:p>
    <w:p w14:paraId="07D3D1B1" w14:textId="77777777" w:rsidR="00AB2FC7" w:rsidRDefault="00AB2FC7">
      <w:pPr>
        <w:spacing w:after="120" w:line="240" w:lineRule="auto"/>
        <w:rPr>
          <w:rFonts w:ascii="Georgia" w:eastAsia="Georgia" w:hAnsi="Georgia" w:cs="Georgia"/>
          <w:sz w:val="24"/>
          <w:szCs w:val="24"/>
        </w:rPr>
      </w:pPr>
    </w:p>
    <w:p w14:paraId="07D3D1B2" w14:textId="77777777" w:rsidR="00AB2FC7" w:rsidRDefault="007D07AD">
      <w:pPr>
        <w:spacing w:after="120" w:line="240" w:lineRule="auto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  <w:u w:val="single"/>
        </w:rPr>
        <w:t>Legislative Service Number</w:t>
      </w:r>
      <w:r>
        <w:rPr>
          <w:rFonts w:ascii="Georgia" w:eastAsia="Georgia" w:hAnsi="Georgia" w:cs="Georgia"/>
          <w:b/>
          <w:bCs/>
          <w:sz w:val="24"/>
          <w:szCs w:val="24"/>
        </w:rPr>
        <w:t>:</w:t>
      </w:r>
    </w:p>
    <w:p w14:paraId="07D3D1B3" w14:textId="77777777" w:rsidR="00AB2FC7" w:rsidRDefault="007D07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Int. 787-2024 | LS No. 116-2024also known as Int. 802-2022, Int. 582-2018 and Int. 1445-2017</w:t>
      </w:r>
    </w:p>
    <w:p w14:paraId="07D3D1B4" w14:textId="77777777" w:rsidR="00AB2FC7" w:rsidRDefault="00AB2F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 w:hanging="360"/>
        <w:rPr>
          <w:rFonts w:ascii="Georgia" w:eastAsia="Georgia" w:hAnsi="Georgia" w:cs="Georgia"/>
          <w:color w:val="000000"/>
          <w:sz w:val="24"/>
          <w:szCs w:val="24"/>
        </w:rPr>
      </w:pPr>
    </w:p>
    <w:p w14:paraId="07D3D1B5" w14:textId="77777777" w:rsidR="00AB2FC7" w:rsidRDefault="007D07AD">
      <w:pPr>
        <w:spacing w:after="120" w:line="240" w:lineRule="auto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  <w:u w:val="single"/>
        </w:rPr>
        <w:t>Prime Sponsor</w:t>
      </w:r>
      <w:r>
        <w:rPr>
          <w:rFonts w:ascii="Georgia" w:eastAsia="Georgia" w:hAnsi="Georgia" w:cs="Georgia"/>
          <w:b/>
          <w:bCs/>
          <w:sz w:val="24"/>
          <w:szCs w:val="24"/>
        </w:rPr>
        <w:t>:</w:t>
      </w:r>
    </w:p>
    <w:p w14:paraId="07D3D1B6" w14:textId="77777777" w:rsidR="00AB2FC7" w:rsidRDefault="007D07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Public Advocate Jumaane D. Williams</w:t>
      </w:r>
    </w:p>
    <w:p w14:paraId="07D3D1B7" w14:textId="77777777" w:rsidR="00AB2FC7" w:rsidRDefault="00AB2F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 w:hanging="360"/>
        <w:rPr>
          <w:rFonts w:ascii="Georgia" w:eastAsia="Georgia" w:hAnsi="Georgia" w:cs="Georgia"/>
          <w:color w:val="000000"/>
          <w:sz w:val="24"/>
          <w:szCs w:val="24"/>
        </w:rPr>
      </w:pPr>
    </w:p>
    <w:p w14:paraId="07D3D1B8" w14:textId="77777777" w:rsidR="00AB2FC7" w:rsidRDefault="007D07AD">
      <w:pPr>
        <w:spacing w:after="120" w:line="240" w:lineRule="auto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  <w:u w:val="single"/>
        </w:rPr>
        <w:t>Bill Title</w:t>
      </w:r>
      <w:r>
        <w:rPr>
          <w:rFonts w:ascii="Georgia" w:eastAsia="Georgia" w:hAnsi="Georgia" w:cs="Georgia"/>
          <w:b/>
          <w:bCs/>
          <w:sz w:val="24"/>
          <w:szCs w:val="24"/>
        </w:rPr>
        <w:t>:</w:t>
      </w:r>
    </w:p>
    <w:p w14:paraId="07D3D1B9" w14:textId="77777777" w:rsidR="00AB2FC7" w:rsidRDefault="007D07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A Local Law to amend the New York city building code, in relation to requiring safety netting and guardrail systems to protect floor openings</w:t>
      </w:r>
    </w:p>
    <w:p w14:paraId="07D3D1BA" w14:textId="77777777" w:rsidR="00AB2FC7" w:rsidRDefault="00AB2F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 w:hanging="360"/>
        <w:rPr>
          <w:rFonts w:ascii="Georgia" w:eastAsia="Georgia" w:hAnsi="Georgia" w:cs="Georgia"/>
          <w:color w:val="000000"/>
          <w:sz w:val="24"/>
          <w:szCs w:val="24"/>
        </w:rPr>
      </w:pPr>
    </w:p>
    <w:p w14:paraId="07D3D1BB" w14:textId="77777777" w:rsidR="00AB2FC7" w:rsidRDefault="007D07AD">
      <w:pPr>
        <w:spacing w:after="120" w:line="240" w:lineRule="auto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  <w:u w:val="single"/>
        </w:rPr>
        <w:t>Submitted by</w:t>
      </w:r>
      <w:r>
        <w:rPr>
          <w:rFonts w:ascii="Georgia" w:eastAsia="Georgia" w:hAnsi="Georgia" w:cs="Georgia"/>
          <w:b/>
          <w:bCs/>
          <w:sz w:val="24"/>
          <w:szCs w:val="24"/>
        </w:rPr>
        <w:t>:</w:t>
      </w:r>
    </w:p>
    <w:p w14:paraId="07D3D1BC" w14:textId="77777777" w:rsidR="00AB2FC7" w:rsidRDefault="007D07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Public Advocate Jumaane Williams</w:t>
      </w:r>
    </w:p>
    <w:p w14:paraId="07D3D1BD" w14:textId="77777777" w:rsidR="00AB2FC7" w:rsidRDefault="00AB2F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 w:hanging="360"/>
        <w:rPr>
          <w:rFonts w:ascii="Georgia" w:eastAsia="Georgia" w:hAnsi="Georgia" w:cs="Georgia"/>
          <w:color w:val="000000"/>
          <w:sz w:val="24"/>
          <w:szCs w:val="24"/>
        </w:rPr>
      </w:pPr>
    </w:p>
    <w:p w14:paraId="07D3D1BE" w14:textId="77777777" w:rsidR="00AB2FC7" w:rsidRDefault="007D07AD">
      <w:pPr>
        <w:pStyle w:val="Heading3"/>
        <w:spacing w:before="0" w:after="120" w:line="240" w:lineRule="auto"/>
        <w:rPr>
          <w:rFonts w:ascii="Georgia" w:eastAsia="Georgia" w:hAnsi="Georgia" w:cs="Georgia"/>
          <w:sz w:val="24"/>
          <w:szCs w:val="24"/>
          <w:u w:val="single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Justification</w:t>
      </w:r>
    </w:p>
    <w:p w14:paraId="07D3D1BF" w14:textId="77777777" w:rsidR="00AB2FC7" w:rsidRDefault="007D07AD">
      <w:p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Through the years, we have seen a multitude of accidents at construction sites and some of these accidents have been fatal.  Ensuring employee safety at a work site is of utmost importance, especially at construction sites where a variety of strenuous and physical work is occurring simultaneously.  </w:t>
      </w:r>
    </w:p>
    <w:p w14:paraId="07D3D1C0" w14:textId="77777777" w:rsidR="00AB2FC7" w:rsidRDefault="00AB2FC7">
      <w:pPr>
        <w:spacing w:after="120" w:line="240" w:lineRule="auto"/>
        <w:rPr>
          <w:rFonts w:ascii="Georgia" w:eastAsia="Georgia" w:hAnsi="Georgia" w:cs="Georgia"/>
          <w:sz w:val="24"/>
          <w:szCs w:val="24"/>
        </w:rPr>
      </w:pPr>
    </w:p>
    <w:p w14:paraId="07D3D1C1" w14:textId="77777777" w:rsidR="00AB2FC7" w:rsidRDefault="007D07AD">
      <w:pPr>
        <w:spacing w:after="12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The proposed legislation details what measures should be put in place for floor openings used to remove debris.  A construction site must install a wire mesh guardrail enclosure at the shaft ways used between floors.  The proposed legislation also includes exceptions for buildings less than six stories or 75 feet </w:t>
      </w:r>
      <w:proofErr w:type="gramStart"/>
      <w:r>
        <w:rPr>
          <w:rFonts w:ascii="Georgia" w:eastAsia="Georgia" w:hAnsi="Georgia" w:cs="Georgia"/>
          <w:sz w:val="24"/>
          <w:szCs w:val="24"/>
        </w:rPr>
        <w:t>tall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allowing for solid </w:t>
      </w:r>
      <w:proofErr w:type="gramStart"/>
      <w:r>
        <w:rPr>
          <w:rFonts w:ascii="Georgia" w:eastAsia="Georgia" w:hAnsi="Georgia" w:cs="Georgia"/>
          <w:sz w:val="24"/>
          <w:szCs w:val="24"/>
        </w:rPr>
        <w:t>two inch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planks that are clearly marked for on-site employees.</w:t>
      </w:r>
    </w:p>
    <w:p w14:paraId="07D3D1C2" w14:textId="77777777" w:rsidR="00AB2FC7" w:rsidRDefault="00AB2FC7">
      <w:pPr>
        <w:spacing w:after="120" w:line="240" w:lineRule="auto"/>
        <w:rPr>
          <w:rFonts w:ascii="Georgia" w:eastAsia="Georgia" w:hAnsi="Georgia" w:cs="Georgia"/>
          <w:sz w:val="24"/>
          <w:szCs w:val="24"/>
        </w:rPr>
      </w:pPr>
    </w:p>
    <w:sectPr w:rsidR="00AB2FC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AE101E0-157A-435F-974D-8C4A375FB8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DBC4BF7-1B1A-4507-9001-3327BCD095C1}"/>
    <w:embedBold r:id="rId3" w:fontKey="{C6F2D575-68B8-4832-86B0-CC0AB1D04210}"/>
    <w:embedItalic r:id="rId4" w:fontKey="{C2EA87C3-B255-4205-86B2-2058EB9BBA91}"/>
    <w:embedBoldItalic r:id="rId5" w:fontKey="{C8B4D13D-9054-4496-9288-9940D72C36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4DB23DF-A02F-4404-A0F9-2E4D886AF273}"/>
    <w:embedBold r:id="rId7" w:fontKey="{85DBAB4B-F59F-478F-ADA3-A709B122C77F}"/>
    <w:embedItalic r:id="rId8" w:fontKey="{AAFFDD52-0916-4563-9EEB-5B54DD359A80}"/>
    <w:embedBoldItalic r:id="rId9" w:fontKey="{029332AE-CF73-4319-859A-1F0C5A186A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BAB2A412-F5E8-463C-A46B-FCE94EA805CA}"/>
    <w:embedBold r:id="rId11" w:fontKey="{21BE16ED-D5B3-471A-9544-506C7BEB5F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27766"/>
    <w:multiLevelType w:val="multilevel"/>
    <w:tmpl w:val="5802D356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E0511D9"/>
    <w:multiLevelType w:val="multilevel"/>
    <w:tmpl w:val="AADE8D04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21310951">
    <w:abstractNumId w:val="0"/>
  </w:num>
  <w:num w:numId="2" w16cid:durableId="620964566">
    <w:abstractNumId w:val="1"/>
  </w:num>
  <w:num w:numId="3" w16cid:durableId="230121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4134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243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3092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FC7"/>
    <w:rsid w:val="000C1D6A"/>
    <w:rsid w:val="003F6C66"/>
    <w:rsid w:val="0047468D"/>
    <w:rsid w:val="007D07AD"/>
    <w:rsid w:val="00AB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3D1AD"/>
  <w15:docId w15:val="{CC2F5DF8-8E38-46BC-8BDF-CEC422F6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C5070"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yNlTGfQf5UImxAJAu33uUziEA==">CgMxLjA4AHIhMTlYRHptNHBiSkxrOWFuM18xZFljaUc1c0lkLUh4Y2V0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Delancey, Thaddea</cp:lastModifiedBy>
  <cp:revision>2</cp:revision>
  <dcterms:created xsi:type="dcterms:W3CDTF">2026-03-11T20:37:00Z</dcterms:created>
  <dcterms:modified xsi:type="dcterms:W3CDTF">2026-03-11T20:37:00Z</dcterms:modified>
</cp:coreProperties>
</file>