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B4D59" w14:textId="39D244D8" w:rsidR="00025842" w:rsidRDefault="00025842" w:rsidP="00D35219">
      <w:pPr>
        <w:pStyle w:val="NormalWeb"/>
        <w:spacing w:before="0" w:beforeAutospacing="0" w:after="0" w:afterAutospacing="0"/>
        <w:jc w:val="center"/>
        <w:rPr>
          <w:rStyle w:val="Strong"/>
          <w:b w:val="0"/>
          <w:bCs w:val="0"/>
        </w:rPr>
      </w:pPr>
      <w:r>
        <w:rPr>
          <w:rStyle w:val="Strong"/>
          <w:b w:val="0"/>
          <w:bCs w:val="0"/>
        </w:rPr>
        <w:t>Res. No.</w:t>
      </w:r>
      <w:r w:rsidR="005C107C">
        <w:rPr>
          <w:rStyle w:val="Strong"/>
          <w:b w:val="0"/>
          <w:bCs w:val="0"/>
        </w:rPr>
        <w:t xml:space="preserve"> </w:t>
      </w:r>
      <w:r w:rsidR="006A4061">
        <w:rPr>
          <w:rStyle w:val="Strong"/>
          <w:b w:val="0"/>
          <w:bCs w:val="0"/>
        </w:rPr>
        <w:t>372</w:t>
      </w:r>
    </w:p>
    <w:p w14:paraId="180774FD" w14:textId="77777777" w:rsidR="00D35219" w:rsidRDefault="00D35219" w:rsidP="00D35219">
      <w:pPr>
        <w:pStyle w:val="NormalWeb"/>
        <w:spacing w:before="0" w:beforeAutospacing="0" w:after="0" w:afterAutospacing="0"/>
        <w:jc w:val="center"/>
        <w:rPr>
          <w:rStyle w:val="Strong"/>
          <w:b w:val="0"/>
          <w:bCs w:val="0"/>
        </w:rPr>
      </w:pPr>
    </w:p>
    <w:p w14:paraId="4B334857" w14:textId="2FD3329C" w:rsidR="00025842" w:rsidRPr="005C107C" w:rsidRDefault="00025842" w:rsidP="009817FE">
      <w:pPr>
        <w:pStyle w:val="NormalWeb"/>
        <w:spacing w:before="0" w:beforeAutospacing="0" w:after="0" w:afterAutospacing="0"/>
        <w:jc w:val="both"/>
        <w:rPr>
          <w:rStyle w:val="Strong"/>
          <w:b w:val="0"/>
          <w:bCs w:val="0"/>
        </w:rPr>
      </w:pPr>
      <w:r>
        <w:rPr>
          <w:rStyle w:val="Strong"/>
          <w:b w:val="0"/>
          <w:bCs w:val="0"/>
          <w:vanish/>
        </w:rPr>
        <w:t>..Title</w:t>
      </w:r>
    </w:p>
    <w:p w14:paraId="096B18EF" w14:textId="1CA016EC" w:rsidR="00025842" w:rsidRDefault="00025842" w:rsidP="009817FE">
      <w:pPr>
        <w:pStyle w:val="NormalWeb"/>
        <w:spacing w:before="0" w:beforeAutospacing="0" w:after="0" w:afterAutospacing="0"/>
        <w:jc w:val="both"/>
      </w:pPr>
      <w:r>
        <w:rPr>
          <w:rStyle w:val="Strong"/>
          <w:b w:val="0"/>
          <w:bCs w:val="0"/>
        </w:rPr>
        <w:t xml:space="preserve">Resolution calling </w:t>
      </w:r>
      <w:r w:rsidR="00F32958">
        <w:rPr>
          <w:rStyle w:val="Strong"/>
          <w:b w:val="0"/>
          <w:bCs w:val="0"/>
        </w:rPr>
        <w:t xml:space="preserve">on </w:t>
      </w:r>
      <w:r w:rsidR="00D33D8C">
        <w:t xml:space="preserve">the Legislative Assembly </w:t>
      </w:r>
      <w:r w:rsidR="00D33D8C" w:rsidRPr="00F32958">
        <w:t>of Puerto Rico</w:t>
      </w:r>
      <w:r w:rsidR="00D33D8C">
        <w:t xml:space="preserve"> to pass, </w:t>
      </w:r>
      <w:r w:rsidR="00D33D8C" w:rsidRPr="00520905">
        <w:t>and the Governor</w:t>
      </w:r>
      <w:r w:rsidR="00D33D8C">
        <w:t xml:space="preserve"> of Puerto Rico</w:t>
      </w:r>
      <w:r w:rsidR="00D33D8C" w:rsidRPr="00520905">
        <w:t xml:space="preserve"> to sign</w:t>
      </w:r>
      <w:r w:rsidR="00A9754E">
        <w:t>,</w:t>
      </w:r>
      <w:r w:rsidR="00D33D8C">
        <w:t xml:space="preserve"> legislation </w:t>
      </w:r>
      <w:r w:rsidR="00D33D8C" w:rsidRPr="00F32958">
        <w:t xml:space="preserve">to </w:t>
      </w:r>
      <w:r w:rsidR="00D33D8C">
        <w:t>repeal</w:t>
      </w:r>
      <w:r w:rsidR="00D33D8C" w:rsidRPr="00F32958">
        <w:t xml:space="preserve"> Act 22 and implement a progressive tax policy</w:t>
      </w:r>
      <w:r w:rsidR="00D33D8C">
        <w:t xml:space="preserve"> </w:t>
      </w:r>
      <w:r w:rsidR="00847F81">
        <w:t>to</w:t>
      </w:r>
      <w:r w:rsidR="00D33D8C">
        <w:t xml:space="preserve"> minimize</w:t>
      </w:r>
      <w:r w:rsidR="009817FE">
        <w:t xml:space="preserve"> the </w:t>
      </w:r>
      <w:r w:rsidR="00D33D8C">
        <w:t xml:space="preserve">revenue losses to </w:t>
      </w:r>
      <w:r w:rsidR="009817FE">
        <w:t>f</w:t>
      </w:r>
      <w:r w:rsidR="00D33D8C">
        <w:t xml:space="preserve">ederal, </w:t>
      </w:r>
      <w:r w:rsidR="009817FE">
        <w:t>s</w:t>
      </w:r>
      <w:r w:rsidR="00D33D8C">
        <w:t>tate, city</w:t>
      </w:r>
      <w:r w:rsidR="00705C07">
        <w:t>,</w:t>
      </w:r>
      <w:r w:rsidR="00D33D8C">
        <w:t xml:space="preserve"> and territorial governments</w:t>
      </w:r>
    </w:p>
    <w:p w14:paraId="1D7F7453" w14:textId="2200140E" w:rsidR="005C107C" w:rsidRPr="005C107C" w:rsidRDefault="005C107C" w:rsidP="009817FE">
      <w:pPr>
        <w:pStyle w:val="NormalWeb"/>
        <w:spacing w:before="0" w:beforeAutospacing="0" w:after="0" w:afterAutospacing="0"/>
        <w:jc w:val="both"/>
        <w:rPr>
          <w:vanish/>
        </w:rPr>
      </w:pPr>
      <w:r w:rsidRPr="005C107C">
        <w:rPr>
          <w:vanish/>
        </w:rPr>
        <w:t>..Body</w:t>
      </w:r>
    </w:p>
    <w:p w14:paraId="4A525C9E" w14:textId="77777777" w:rsidR="00B7497D" w:rsidRDefault="00B7497D" w:rsidP="00E21504">
      <w:pPr>
        <w:autoSpaceDE w:val="0"/>
        <w:autoSpaceDN w:val="0"/>
        <w:adjustRightInd w:val="0"/>
        <w:rPr>
          <w:rFonts w:ascii="Times New Roman" w:hAnsi="Times New Roman" w:cs="Times New Roman"/>
        </w:rPr>
      </w:pPr>
    </w:p>
    <w:p w14:paraId="1B8A5FA4" w14:textId="77777777" w:rsidR="007A354B" w:rsidRDefault="007A354B" w:rsidP="007A354B">
      <w:pPr>
        <w:autoSpaceDE w:val="0"/>
        <w:autoSpaceDN w:val="0"/>
        <w:adjustRightInd w:val="0"/>
        <w:rPr>
          <w:rFonts w:ascii="Times New Roman" w:hAnsi="Times New Roman" w:cs="Times New Roman"/>
        </w:rPr>
      </w:pPr>
      <w:r>
        <w:rPr>
          <w:rFonts w:ascii="Times New Roman" w:hAnsi="Times New Roman" w:cs="Times New Roman"/>
        </w:rPr>
        <w:t>By Council Members J. Sanchez and Aldebol</w:t>
      </w:r>
    </w:p>
    <w:p w14:paraId="6F8AEA06" w14:textId="77777777" w:rsidR="008A44A1" w:rsidRDefault="008A44A1" w:rsidP="00025842">
      <w:pPr>
        <w:pStyle w:val="NormalWeb"/>
        <w:spacing w:before="0" w:beforeAutospacing="0" w:after="0" w:afterAutospacing="0"/>
        <w:rPr>
          <w:rStyle w:val="Strong"/>
          <w:b w:val="0"/>
          <w:bCs w:val="0"/>
        </w:rPr>
      </w:pPr>
    </w:p>
    <w:p w14:paraId="5A361EDA" w14:textId="2F6BD835" w:rsidR="00D865CD" w:rsidRDefault="0024475A" w:rsidP="00E77B60">
      <w:pPr>
        <w:pStyle w:val="NormalWeb"/>
        <w:spacing w:before="0" w:beforeAutospacing="0" w:after="0" w:afterAutospacing="0" w:line="480" w:lineRule="auto"/>
        <w:ind w:firstLine="720"/>
        <w:jc w:val="both"/>
      </w:pPr>
      <w:r w:rsidRPr="0024475A">
        <w:rPr>
          <w:rStyle w:val="Strong"/>
          <w:b w:val="0"/>
          <w:bCs w:val="0"/>
        </w:rPr>
        <w:t>Whereas,</w:t>
      </w:r>
      <w:r w:rsidRPr="0024475A">
        <w:t xml:space="preserve"> </w:t>
      </w:r>
      <w:r w:rsidR="00F32958">
        <w:t>Puerto Rico</w:t>
      </w:r>
      <w:r w:rsidR="00D865CD">
        <w:t>’s Legislative Assembly</w:t>
      </w:r>
      <w:r w:rsidR="00963689">
        <w:t xml:space="preserve"> </w:t>
      </w:r>
      <w:r w:rsidR="00D865CD">
        <w:t>pass</w:t>
      </w:r>
      <w:r w:rsidR="00963689">
        <w:t>ed</w:t>
      </w:r>
      <w:r w:rsidR="00F32958">
        <w:t xml:space="preserve"> </w:t>
      </w:r>
      <w:r w:rsidR="00D865CD">
        <w:t xml:space="preserve">the Act to Promote the Relocation of Individual Investors, also known as </w:t>
      </w:r>
      <w:r w:rsidR="00F32958">
        <w:t>Act 22</w:t>
      </w:r>
      <w:r w:rsidR="00D865CD">
        <w:t>,</w:t>
      </w:r>
      <w:r w:rsidR="00F32958">
        <w:t xml:space="preserve"> in 2012</w:t>
      </w:r>
      <w:r w:rsidR="00D865CD">
        <w:t>; and</w:t>
      </w:r>
    </w:p>
    <w:p w14:paraId="142187E9" w14:textId="17758FF3" w:rsidR="00F32958" w:rsidRDefault="00D865CD" w:rsidP="00E77B60">
      <w:pPr>
        <w:pStyle w:val="NormalWeb"/>
        <w:spacing w:before="0" w:beforeAutospacing="0" w:after="0" w:afterAutospacing="0" w:line="480" w:lineRule="auto"/>
        <w:ind w:firstLine="720"/>
        <w:jc w:val="both"/>
      </w:pPr>
      <w:r>
        <w:t>Whereas, As its name suggests, Act 22 is designed</w:t>
      </w:r>
      <w:r w:rsidR="00F32958">
        <w:t xml:space="preserve"> to attract wealthy investors</w:t>
      </w:r>
      <w:r>
        <w:t xml:space="preserve"> to Puerto Rico</w:t>
      </w:r>
      <w:r w:rsidR="00F32958">
        <w:t xml:space="preserve">; and </w:t>
      </w:r>
    </w:p>
    <w:p w14:paraId="7BA7568C" w14:textId="6F959E21" w:rsidR="00795005" w:rsidRDefault="00F32958" w:rsidP="00E77B60">
      <w:pPr>
        <w:pStyle w:val="NormalWeb"/>
        <w:spacing w:before="0" w:beforeAutospacing="0" w:after="0" w:afterAutospacing="0" w:line="480" w:lineRule="auto"/>
        <w:ind w:firstLine="720"/>
        <w:jc w:val="both"/>
      </w:pPr>
      <w:r>
        <w:t xml:space="preserve">Whereas, </w:t>
      </w:r>
      <w:r w:rsidR="00D865CD">
        <w:t xml:space="preserve">Act 22 works in tandem with </w:t>
      </w:r>
      <w:r>
        <w:t>the U</w:t>
      </w:r>
      <w:r w:rsidR="0054473C">
        <w:t>nited States</w:t>
      </w:r>
      <w:r>
        <w:t xml:space="preserve"> tax code</w:t>
      </w:r>
      <w:r w:rsidR="00795005">
        <w:t>, which exempts Puerto Rico-sourced income from U</w:t>
      </w:r>
      <w:r w:rsidR="0054473C">
        <w:t>nited States</w:t>
      </w:r>
      <w:r w:rsidR="00795005">
        <w:t xml:space="preserve"> federal income taxes, including</w:t>
      </w:r>
      <w:r w:rsidR="007207D1">
        <w:t xml:space="preserve"> taxes</w:t>
      </w:r>
      <w:r w:rsidR="00795005">
        <w:t xml:space="preserve"> on interest, dividends, and capital gains; and</w:t>
      </w:r>
    </w:p>
    <w:p w14:paraId="1A8C1D40" w14:textId="77F8E035" w:rsidR="00F32958" w:rsidRDefault="00795005" w:rsidP="00E77B60">
      <w:pPr>
        <w:pStyle w:val="NormalWeb"/>
        <w:spacing w:before="0" w:beforeAutospacing="0" w:after="0" w:afterAutospacing="0" w:line="480" w:lineRule="auto"/>
        <w:ind w:firstLine="720"/>
        <w:jc w:val="both"/>
      </w:pPr>
      <w:r>
        <w:t>Whereas</w:t>
      </w:r>
      <w:r w:rsidR="00F32958">
        <w:t xml:space="preserve">, </w:t>
      </w:r>
      <w:r>
        <w:t>Under Act 22, U</w:t>
      </w:r>
      <w:r w:rsidR="0054473C">
        <w:t>nited States</w:t>
      </w:r>
      <w:r>
        <w:t xml:space="preserve"> citizens who move to Puerto Rico and become </w:t>
      </w:r>
      <w:r w:rsidR="006172ED">
        <w:t>b</w:t>
      </w:r>
      <w:r w:rsidR="00F32958">
        <w:t>ona</w:t>
      </w:r>
      <w:r w:rsidR="006172ED">
        <w:t xml:space="preserve"> </w:t>
      </w:r>
      <w:r w:rsidR="00F32958">
        <w:t xml:space="preserve">fide residents </w:t>
      </w:r>
      <w:r w:rsidR="0003055E">
        <w:t xml:space="preserve">of Puerto Rico </w:t>
      </w:r>
      <w:r w:rsidR="00F32958">
        <w:t xml:space="preserve">are exempt </w:t>
      </w:r>
      <w:r>
        <w:t xml:space="preserve">not only </w:t>
      </w:r>
      <w:r w:rsidR="00F32958">
        <w:t>from United States federal income tax</w:t>
      </w:r>
      <w:r w:rsidR="00F10867">
        <w:t>es</w:t>
      </w:r>
      <w:r>
        <w:t>, but also pay minimal Puerto Rico income taxes</w:t>
      </w:r>
      <w:r w:rsidR="00F32958">
        <w:t xml:space="preserve">; and </w:t>
      </w:r>
    </w:p>
    <w:p w14:paraId="72D9ABE6" w14:textId="4C32AD5E" w:rsidR="00795005" w:rsidRDefault="00795005" w:rsidP="00520905">
      <w:pPr>
        <w:pStyle w:val="NormalWeb"/>
        <w:spacing w:before="0" w:beforeAutospacing="0" w:after="0" w:afterAutospacing="0" w:line="480" w:lineRule="auto"/>
        <w:ind w:firstLine="720"/>
        <w:jc w:val="both"/>
      </w:pPr>
      <w:r>
        <w:t>Whereas, To establish bona fide residency under Act 22, an individual must</w:t>
      </w:r>
      <w:r w:rsidR="00520905">
        <w:t xml:space="preserve"> </w:t>
      </w:r>
      <w:r w:rsidR="0003055E">
        <w:t>not have resided in Puerto Rico during the period from 2006 to 2012</w:t>
      </w:r>
      <w:r w:rsidR="00520905">
        <w:t xml:space="preserve">, </w:t>
      </w:r>
      <w:r w:rsidR="00D33D8C">
        <w:t xml:space="preserve">must </w:t>
      </w:r>
      <w:r w:rsidR="0003055E">
        <w:t>reside in Puerto Rico for at least 6 months before requesting a decree</w:t>
      </w:r>
      <w:r w:rsidR="00520905">
        <w:t>, must not</w:t>
      </w:r>
      <w:r w:rsidR="0003055E">
        <w:t xml:space="preserve"> have a tax domicile outside of Puerto Ric</w:t>
      </w:r>
      <w:r w:rsidR="00520905">
        <w:t xml:space="preserve">o, </w:t>
      </w:r>
      <w:r w:rsidR="00D33D8C">
        <w:t xml:space="preserve">must </w:t>
      </w:r>
      <w:r w:rsidR="0003055E">
        <w:t>buy a house in Puerto Rico within 2 years of obtaining a decree</w:t>
      </w:r>
      <w:r w:rsidR="00520905">
        <w:t>,</w:t>
      </w:r>
      <w:r w:rsidR="0003055E">
        <w:t xml:space="preserve"> and</w:t>
      </w:r>
      <w:r w:rsidR="00D33D8C">
        <w:t xml:space="preserve"> must</w:t>
      </w:r>
      <w:r w:rsidR="00520905">
        <w:t xml:space="preserve"> </w:t>
      </w:r>
      <w:r w:rsidR="0003055E">
        <w:t>make an annual $10,000 contribution to one or more local nonprofit organizations</w:t>
      </w:r>
      <w:r>
        <w:t>; and</w:t>
      </w:r>
    </w:p>
    <w:p w14:paraId="66CDB7F6" w14:textId="3AA7143F" w:rsidR="0064501F" w:rsidRDefault="00795005" w:rsidP="0064501F">
      <w:pPr>
        <w:pStyle w:val="NormalWeb"/>
        <w:spacing w:before="0" w:beforeAutospacing="0" w:after="0" w:afterAutospacing="0" w:line="480" w:lineRule="auto"/>
        <w:ind w:firstLine="720"/>
        <w:jc w:val="both"/>
      </w:pPr>
      <w:r>
        <w:t>Whereas, Thus, Act 22’s benefits are</w:t>
      </w:r>
      <w:r w:rsidR="0064501F">
        <w:t xml:space="preserve"> designed to benefit wealthy individuals and are</w:t>
      </w:r>
      <w:r>
        <w:t xml:space="preserve"> not available to existing residents of Puerto Rico; and</w:t>
      </w:r>
    </w:p>
    <w:p w14:paraId="1B02306A" w14:textId="282F66DA" w:rsidR="00705C07" w:rsidRDefault="002B1C50" w:rsidP="008A64F0">
      <w:pPr>
        <w:pStyle w:val="NormalWeb"/>
        <w:spacing w:before="0" w:beforeAutospacing="0" w:after="0" w:afterAutospacing="0" w:line="480" w:lineRule="auto"/>
        <w:ind w:firstLine="720"/>
        <w:jc w:val="both"/>
      </w:pPr>
      <w:r>
        <w:lastRenderedPageBreak/>
        <w:t xml:space="preserve">Whereas, </w:t>
      </w:r>
      <w:r w:rsidR="00132E88">
        <w:t>According to a 2024 report published by Puerto Rico’s Department of Economic Development and Commerce, t</w:t>
      </w:r>
      <w:r>
        <w:t>otal</w:t>
      </w:r>
      <w:r w:rsidR="00132E88">
        <w:t xml:space="preserve"> Act 22</w:t>
      </w:r>
      <w:r>
        <w:t xml:space="preserve"> beneficiaries increas</w:t>
      </w:r>
      <w:r w:rsidR="00132E88">
        <w:t>ed</w:t>
      </w:r>
      <w:r>
        <w:t xml:space="preserve"> over 60 percent in the span of 3 years from 3,146 taxpayers in 2020 to 5,010 taxpayers in 2023; and </w:t>
      </w:r>
    </w:p>
    <w:p w14:paraId="6F710EE5" w14:textId="7F677C8B" w:rsidR="0064501F" w:rsidRDefault="007207D1" w:rsidP="00E77B60">
      <w:pPr>
        <w:pStyle w:val="NormalWeb"/>
        <w:spacing w:before="0" w:beforeAutospacing="0" w:after="0" w:afterAutospacing="0" w:line="480" w:lineRule="auto"/>
        <w:ind w:firstLine="720"/>
        <w:jc w:val="both"/>
      </w:pPr>
      <w:r>
        <w:t>Whereas, Act 22 is the subject of intense criticism</w:t>
      </w:r>
      <w:r w:rsidR="0064501F">
        <w:t>; and</w:t>
      </w:r>
    </w:p>
    <w:p w14:paraId="65494AEC" w14:textId="5B634EF6" w:rsidR="00597CC5" w:rsidRDefault="00597CC5" w:rsidP="00597CC5">
      <w:pPr>
        <w:pStyle w:val="NormalWeb"/>
        <w:spacing w:before="0" w:beforeAutospacing="0" w:after="0" w:afterAutospacing="0" w:line="480" w:lineRule="auto"/>
        <w:ind w:firstLine="720"/>
        <w:jc w:val="both"/>
      </w:pPr>
      <w:r>
        <w:t xml:space="preserve">Whereas, Advocates point to a lack of regulatory guardrails to ensure meaningful compliance with Act 22’s requirements; and </w:t>
      </w:r>
    </w:p>
    <w:p w14:paraId="511FBC79" w14:textId="175ED865" w:rsidR="00E627DC" w:rsidRDefault="0064501F" w:rsidP="00E627DC">
      <w:pPr>
        <w:pStyle w:val="NormalWeb"/>
        <w:spacing w:before="0" w:beforeAutospacing="0" w:after="0" w:afterAutospacing="0" w:line="480" w:lineRule="auto"/>
        <w:ind w:firstLine="720"/>
        <w:jc w:val="both"/>
      </w:pPr>
      <w:r>
        <w:t xml:space="preserve">Whereas, </w:t>
      </w:r>
      <w:r w:rsidR="00597CC5">
        <w:t>Moreover, a</w:t>
      </w:r>
      <w:r>
        <w:t>cco</w:t>
      </w:r>
      <w:r w:rsidR="00F10867">
        <w:t>r</w:t>
      </w:r>
      <w:r>
        <w:t xml:space="preserve">ding to </w:t>
      </w:r>
      <w:r w:rsidR="00E627DC">
        <w:t>Nomiki Konst and Federico De Jesus</w:t>
      </w:r>
      <w:r w:rsidR="004E1D40">
        <w:t xml:space="preserve"> (Konst and De Jesus)</w:t>
      </w:r>
      <w:r w:rsidR="00E627DC">
        <w:t>, whose article “Listen to Bad Bunny: Abolish Act 22” was published in The Nation on January 14, 2026, Act 22 makes Puerto Rico “the only place in the world where an American can ‘establish residency’ and pay Uncle Sam almost no taxes and not risk losing their passport”; and</w:t>
      </w:r>
    </w:p>
    <w:p w14:paraId="235E9155" w14:textId="107A9BDD" w:rsidR="00F32958" w:rsidRDefault="00F32958" w:rsidP="00E77B60">
      <w:pPr>
        <w:pStyle w:val="NormalWeb"/>
        <w:spacing w:before="0" w:beforeAutospacing="0" w:after="0" w:afterAutospacing="0" w:line="480" w:lineRule="auto"/>
        <w:ind w:firstLine="720"/>
        <w:jc w:val="both"/>
      </w:pPr>
      <w:r>
        <w:t xml:space="preserve">Whereas, </w:t>
      </w:r>
      <w:r w:rsidR="004E1D40">
        <w:t xml:space="preserve">In their article, Konst and De Jesus </w:t>
      </w:r>
      <w:r w:rsidR="0061408A">
        <w:t>assert</w:t>
      </w:r>
      <w:r w:rsidR="004E1D40">
        <w:t xml:space="preserve"> that Act 22 </w:t>
      </w:r>
      <w:r>
        <w:t>reduc</w:t>
      </w:r>
      <w:r w:rsidR="004E1D40">
        <w:t>es</w:t>
      </w:r>
      <w:r>
        <w:t xml:space="preserve"> revenues that would otherwise support the </w:t>
      </w:r>
      <w:r w:rsidR="0061408A">
        <w:t xml:space="preserve">governmental functions </w:t>
      </w:r>
      <w:r>
        <w:t>in jurisdictions such as New York City and across the United States</w:t>
      </w:r>
      <w:r w:rsidR="004E1D40">
        <w:t xml:space="preserve"> because it induces wealthy persons “to stash their money in Puerto Rico tax-free while avoiding local, state, and federal taxes back home”</w:t>
      </w:r>
      <w:r>
        <w:t xml:space="preserve">; and </w:t>
      </w:r>
    </w:p>
    <w:p w14:paraId="1CAA3155" w14:textId="5E95F515" w:rsidR="0061408A" w:rsidRDefault="00F32958" w:rsidP="00E77B60">
      <w:pPr>
        <w:pStyle w:val="NormalWeb"/>
        <w:spacing w:before="0" w:beforeAutospacing="0" w:after="0" w:afterAutospacing="0" w:line="480" w:lineRule="auto"/>
        <w:ind w:firstLine="720"/>
        <w:jc w:val="both"/>
      </w:pPr>
      <w:r>
        <w:t>Whereas,</w:t>
      </w:r>
      <w:r w:rsidR="0061408A">
        <w:t xml:space="preserve"> In addition to lost municipal revenue, other negative consequences of Act 22 directly impact and concern New Yorkers; and</w:t>
      </w:r>
    </w:p>
    <w:p w14:paraId="140010F9" w14:textId="7442BF21" w:rsidR="00F32958" w:rsidRDefault="0061408A" w:rsidP="00E77B60">
      <w:pPr>
        <w:pStyle w:val="NormalWeb"/>
        <w:spacing w:before="0" w:beforeAutospacing="0" w:after="0" w:afterAutospacing="0" w:line="480" w:lineRule="auto"/>
        <w:ind w:firstLine="720"/>
        <w:jc w:val="both"/>
      </w:pPr>
      <w:r>
        <w:t>Whereas,</w:t>
      </w:r>
      <w:r w:rsidR="00F32958">
        <w:t xml:space="preserve"> </w:t>
      </w:r>
      <w:r w:rsidR="002A62B8">
        <w:t xml:space="preserve">According to </w:t>
      </w:r>
      <w:r w:rsidR="001D353F">
        <w:t>a January 2024 report published by</w:t>
      </w:r>
      <w:r w:rsidR="00705C07">
        <w:t xml:space="preserve"> </w:t>
      </w:r>
      <w:r w:rsidR="004E1D40">
        <w:t xml:space="preserve">The </w:t>
      </w:r>
      <w:r w:rsidR="00F32958">
        <w:t>CUNY Graduate Center</w:t>
      </w:r>
      <w:r w:rsidR="00C86D5C">
        <w:t>’s</w:t>
      </w:r>
      <w:r w:rsidR="006D2ABB">
        <w:t xml:space="preserve"> Center for Latin American </w:t>
      </w:r>
      <w:r w:rsidR="00C86D5C">
        <w:t>Caribbean</w:t>
      </w:r>
      <w:r w:rsidR="006D2ABB">
        <w:t xml:space="preserve"> and Latino Studies</w:t>
      </w:r>
      <w:r w:rsidR="00597CC5">
        <w:t>,</w:t>
      </w:r>
      <w:r w:rsidR="00C86D5C">
        <w:t xml:space="preserve"> the United States 2020 Census</w:t>
      </w:r>
      <w:r w:rsidR="00DB73D2">
        <w:t xml:space="preserve"> </w:t>
      </w:r>
      <w:r w:rsidR="00CE7980">
        <w:t>recorded</w:t>
      </w:r>
      <w:r w:rsidR="006D2ABB">
        <w:t xml:space="preserve"> </w:t>
      </w:r>
      <w:r w:rsidR="00F32958">
        <w:t>that New York City’s population is roughly 6.8 percent Puerto Rican</w:t>
      </w:r>
      <w:r w:rsidR="00597CC5">
        <w:t>, considering</w:t>
      </w:r>
      <w:r w:rsidR="008B7B42">
        <w:t xml:space="preserve"> birthplace and ancestry</w:t>
      </w:r>
      <w:r w:rsidR="00597CC5">
        <w:t>,</w:t>
      </w:r>
      <w:r w:rsidR="00F32958">
        <w:t xml:space="preserve"> and accounts for one of the largest populations of the Puerto Rican diaspora</w:t>
      </w:r>
      <w:r>
        <w:t xml:space="preserve"> in the United States</w:t>
      </w:r>
      <w:r w:rsidR="00F32958">
        <w:t xml:space="preserve">; and </w:t>
      </w:r>
    </w:p>
    <w:p w14:paraId="39F9B54A" w14:textId="2A3F6771" w:rsidR="00F32958" w:rsidRDefault="00F32958" w:rsidP="00E77B60">
      <w:pPr>
        <w:pStyle w:val="NormalWeb"/>
        <w:spacing w:before="0" w:beforeAutospacing="0" w:after="0" w:afterAutospacing="0" w:line="480" w:lineRule="auto"/>
        <w:ind w:firstLine="720"/>
        <w:jc w:val="both"/>
      </w:pPr>
      <w:r>
        <w:t xml:space="preserve">Whereas, Puerto Rican New Yorkers have highlighted rising hosing costs and displacement of family members </w:t>
      </w:r>
      <w:r w:rsidR="0061408A">
        <w:t>who live in Puerto Rico as a result of the gentrification under Act 22</w:t>
      </w:r>
      <w:r>
        <w:t xml:space="preserve">; and </w:t>
      </w:r>
    </w:p>
    <w:p w14:paraId="7FC48D01" w14:textId="3E7845B1" w:rsidR="00597CC5" w:rsidRDefault="008B7B42" w:rsidP="00E77B60">
      <w:pPr>
        <w:pStyle w:val="NormalWeb"/>
        <w:spacing w:before="0" w:beforeAutospacing="0" w:after="0" w:afterAutospacing="0" w:line="480" w:lineRule="auto"/>
        <w:ind w:firstLine="720"/>
        <w:jc w:val="both"/>
      </w:pPr>
      <w:r>
        <w:lastRenderedPageBreak/>
        <w:t>Whereas,</w:t>
      </w:r>
      <w:r w:rsidR="006550B2">
        <w:t xml:space="preserve"> </w:t>
      </w:r>
      <w:r w:rsidR="00CB5E8B">
        <w:t>According to Coral Murphy Marcos and Patricia Mazzei’s New York Times article “The Rush for a Slice of Paradise in Puerto Rico</w:t>
      </w:r>
      <w:r w:rsidR="00597CC5">
        <w:t>,</w:t>
      </w:r>
      <w:r w:rsidR="00CB5E8B">
        <w:t>” published January 31, 2022</w:t>
      </w:r>
      <w:r w:rsidR="00597CC5">
        <w:t>,</w:t>
      </w:r>
      <w:r w:rsidR="006550B2">
        <w:t xml:space="preserve"> t</w:t>
      </w:r>
      <w:r w:rsidR="002B1C50">
        <w:t xml:space="preserve">he influx of wealthy Americans </w:t>
      </w:r>
      <w:r w:rsidR="00597CC5">
        <w:t xml:space="preserve">in Puerto Rico who </w:t>
      </w:r>
      <w:r w:rsidR="002B1C50">
        <w:t xml:space="preserve">seek to take advantage of </w:t>
      </w:r>
      <w:r w:rsidR="00597CC5">
        <w:t>Act 22’s</w:t>
      </w:r>
      <w:r w:rsidR="002B1C50">
        <w:t xml:space="preserve"> tax </w:t>
      </w:r>
      <w:r w:rsidR="00597CC5">
        <w:t>incentives</w:t>
      </w:r>
      <w:r w:rsidR="002B1C50">
        <w:t xml:space="preserve"> have oversaturated the housing market and driven up housing prices</w:t>
      </w:r>
      <w:r w:rsidR="00597CC5">
        <w:t>; and</w:t>
      </w:r>
    </w:p>
    <w:p w14:paraId="1D7821CA" w14:textId="05B56B64" w:rsidR="00F32958" w:rsidRDefault="00597CC5" w:rsidP="00705C07">
      <w:pPr>
        <w:pStyle w:val="NormalWeb"/>
        <w:spacing w:before="0" w:beforeAutospacing="0" w:after="0" w:afterAutospacing="0" w:line="480" w:lineRule="auto"/>
        <w:ind w:firstLine="720"/>
        <w:jc w:val="both"/>
      </w:pPr>
      <w:r>
        <w:t>Whereas, For example,</w:t>
      </w:r>
      <w:r w:rsidR="002B1C50">
        <w:t xml:space="preserve"> an average 2-bedroom condo </w:t>
      </w:r>
      <w:r w:rsidR="00705C07">
        <w:t>was</w:t>
      </w:r>
      <w:r w:rsidR="002B1C50">
        <w:t xml:space="preserve"> listed for $130,000 more in 2022 than in 2017; and </w:t>
      </w:r>
    </w:p>
    <w:p w14:paraId="120C8EE5" w14:textId="696F5E8C" w:rsidR="00597CC5" w:rsidRDefault="00597CC5" w:rsidP="00F32958">
      <w:pPr>
        <w:pStyle w:val="NormalWeb"/>
        <w:spacing w:before="0" w:beforeAutospacing="0" w:after="0" w:afterAutospacing="0" w:line="480" w:lineRule="auto"/>
        <w:ind w:firstLine="720"/>
        <w:jc w:val="both"/>
      </w:pPr>
      <w:r>
        <w:t xml:space="preserve">Whereas, In passing Act 22, the government of Puerto Rico harmed both Puerto Rico and destabilized the local economic ecosystem of Puerto Rico with far-reaching </w:t>
      </w:r>
      <w:r w:rsidR="00705C07">
        <w:t xml:space="preserve">and </w:t>
      </w:r>
      <w:r>
        <w:t>negative ripple effects in cities like New York City;</w:t>
      </w:r>
      <w:r w:rsidR="009817FE">
        <w:t xml:space="preserve"> and</w:t>
      </w:r>
    </w:p>
    <w:p w14:paraId="03A2AB09" w14:textId="71ACBF39" w:rsidR="00602950" w:rsidRDefault="00F32958" w:rsidP="00F32958">
      <w:pPr>
        <w:pStyle w:val="NormalWeb"/>
        <w:spacing w:before="0" w:beforeAutospacing="0" w:after="0" w:afterAutospacing="0" w:line="480" w:lineRule="auto"/>
        <w:ind w:firstLine="720"/>
        <w:jc w:val="both"/>
      </w:pPr>
      <w:r>
        <w:t>Whereas, Tax policy should promote equitable and sufficient public investment</w:t>
      </w:r>
      <w:r w:rsidR="00602950">
        <w:t xml:space="preserve">; </w:t>
      </w:r>
      <w:r>
        <w:t xml:space="preserve">and </w:t>
      </w:r>
    </w:p>
    <w:p w14:paraId="7F782E20" w14:textId="6431D784" w:rsidR="00F32958" w:rsidRDefault="00602950" w:rsidP="00847F81">
      <w:pPr>
        <w:pStyle w:val="NormalWeb"/>
        <w:spacing w:before="0" w:beforeAutospacing="0" w:after="0" w:afterAutospacing="0" w:line="480" w:lineRule="auto"/>
        <w:ind w:firstLine="720"/>
        <w:jc w:val="both"/>
      </w:pPr>
      <w:r>
        <w:t>Whereas, P</w:t>
      </w:r>
      <w:r w:rsidR="00F32958">
        <w:t>olicies that only benefit a small subset of wealthy individuals are not consistent with the fundamental principle</w:t>
      </w:r>
      <w:r w:rsidR="00DF0F7A">
        <w:t>s</w:t>
      </w:r>
      <w:r w:rsidR="00F32958">
        <w:t xml:space="preserve"> of </w:t>
      </w:r>
      <w:r w:rsidR="002646A9">
        <w:t xml:space="preserve">sound </w:t>
      </w:r>
      <w:r w:rsidR="00F32958">
        <w:t>tax</w:t>
      </w:r>
      <w:r w:rsidR="002646A9">
        <w:t xml:space="preserve"> policy</w:t>
      </w:r>
      <w:r w:rsidR="00714DE8">
        <w:t xml:space="preserve"> </w:t>
      </w:r>
      <w:r w:rsidR="002646A9">
        <w:t>which include</w:t>
      </w:r>
      <w:r w:rsidR="00714DE8">
        <w:t xml:space="preserve"> simplicity, transparency, neutrality, and stability; and </w:t>
      </w:r>
    </w:p>
    <w:p w14:paraId="7DDC7A30" w14:textId="306CA941" w:rsidR="00F32958" w:rsidRPr="0024475A" w:rsidRDefault="002646A9" w:rsidP="00847F81">
      <w:pPr>
        <w:pStyle w:val="NormalWeb"/>
        <w:spacing w:before="0" w:beforeAutospacing="0" w:after="0" w:afterAutospacing="0" w:line="480" w:lineRule="auto"/>
        <w:ind w:firstLine="720"/>
        <w:jc w:val="both"/>
      </w:pPr>
      <w:r>
        <w:t>Whereas, Taxes and tax expenditures should be apportioned equitably across the population and ensure that public goods and services are available on an equitable and just basis;</w:t>
      </w:r>
      <w:r w:rsidR="00847F81">
        <w:t xml:space="preserve"> </w:t>
      </w:r>
      <w:r w:rsidR="00F32958">
        <w:t>now, therefore</w:t>
      </w:r>
      <w:r w:rsidR="00847F81">
        <w:t>,</w:t>
      </w:r>
      <w:r w:rsidR="00F32958">
        <w:t xml:space="preserve"> be it</w:t>
      </w:r>
    </w:p>
    <w:p w14:paraId="37312C8B" w14:textId="1A69ED3A" w:rsidR="00F32958" w:rsidRDefault="00F32958" w:rsidP="00847F81">
      <w:pPr>
        <w:pStyle w:val="NormalWeb"/>
        <w:spacing w:before="0" w:beforeAutospacing="0" w:after="0" w:afterAutospacing="0" w:line="480" w:lineRule="auto"/>
        <w:ind w:firstLine="720"/>
        <w:jc w:val="both"/>
      </w:pPr>
      <w:r>
        <w:rPr>
          <w:rStyle w:val="Strong"/>
          <w:b w:val="0"/>
          <w:bCs w:val="0"/>
        </w:rPr>
        <w:t>R</w:t>
      </w:r>
      <w:r w:rsidRPr="0024475A">
        <w:rPr>
          <w:rStyle w:val="Strong"/>
          <w:b w:val="0"/>
          <w:bCs w:val="0"/>
        </w:rPr>
        <w:t>esolved,</w:t>
      </w:r>
      <w:r w:rsidRPr="0024475A">
        <w:t xml:space="preserve"> That the Council </w:t>
      </w:r>
      <w:r>
        <w:t xml:space="preserve">of the City of New York </w:t>
      </w:r>
      <w:r>
        <w:rPr>
          <w:rStyle w:val="Strong"/>
          <w:b w:val="0"/>
          <w:bCs w:val="0"/>
        </w:rPr>
        <w:t xml:space="preserve">calls </w:t>
      </w:r>
      <w:r w:rsidR="006550B2">
        <w:rPr>
          <w:rStyle w:val="Strong"/>
          <w:b w:val="0"/>
          <w:bCs w:val="0"/>
        </w:rPr>
        <w:t xml:space="preserve">on </w:t>
      </w:r>
      <w:r w:rsidR="006550B2">
        <w:t xml:space="preserve">the Legislative Assembly </w:t>
      </w:r>
      <w:r w:rsidR="006550B2" w:rsidRPr="00F32958">
        <w:t>of Puerto Rico</w:t>
      </w:r>
      <w:r w:rsidR="00520905">
        <w:t xml:space="preserve"> to pass, </w:t>
      </w:r>
      <w:r w:rsidR="00520905" w:rsidRPr="00520905">
        <w:t>and the Governor</w:t>
      </w:r>
      <w:r w:rsidR="00D33D8C">
        <w:t xml:space="preserve"> of Puerto Rico</w:t>
      </w:r>
      <w:r w:rsidR="00520905" w:rsidRPr="00520905">
        <w:t xml:space="preserve"> to sign</w:t>
      </w:r>
      <w:r w:rsidR="00A9754E">
        <w:t>,</w:t>
      </w:r>
      <w:r w:rsidR="00520905">
        <w:t xml:space="preserve"> </w:t>
      </w:r>
      <w:r w:rsidR="00D33D8C">
        <w:t xml:space="preserve">legislation </w:t>
      </w:r>
      <w:r w:rsidR="006550B2" w:rsidRPr="00F32958">
        <w:t xml:space="preserve">to </w:t>
      </w:r>
      <w:r w:rsidR="00DF0F7A">
        <w:t>repeal</w:t>
      </w:r>
      <w:r w:rsidR="006550B2" w:rsidRPr="00F32958">
        <w:t xml:space="preserve"> Act 22 and implement a progressive tax policy</w:t>
      </w:r>
      <w:r w:rsidR="00D33D8C">
        <w:t xml:space="preserve"> to minimize revenue losses to </w:t>
      </w:r>
      <w:r w:rsidR="009817FE">
        <w:t>f</w:t>
      </w:r>
      <w:r w:rsidR="00D33D8C">
        <w:t xml:space="preserve">ederal, </w:t>
      </w:r>
      <w:r w:rsidR="009817FE">
        <w:t>s</w:t>
      </w:r>
      <w:r w:rsidR="00D33D8C">
        <w:t>tate, city</w:t>
      </w:r>
      <w:r w:rsidR="00705C07">
        <w:t>,</w:t>
      </w:r>
      <w:r w:rsidR="00D33D8C">
        <w:t xml:space="preserve"> and territorial governments</w:t>
      </w:r>
      <w:r>
        <w:t>.</w:t>
      </w:r>
    </w:p>
    <w:p w14:paraId="282EEBD7" w14:textId="551326E9" w:rsidR="000B71D3" w:rsidRPr="000B71D3" w:rsidRDefault="000B71D3" w:rsidP="000B71D3">
      <w:pPr>
        <w:rPr>
          <w:rFonts w:ascii="Times New Roman" w:hAnsi="Times New Roman" w:cs="Times New Roman"/>
          <w:sz w:val="20"/>
          <w:szCs w:val="20"/>
        </w:rPr>
      </w:pPr>
      <w:r w:rsidRPr="000B71D3">
        <w:rPr>
          <w:rFonts w:ascii="Times New Roman" w:hAnsi="Times New Roman" w:cs="Times New Roman"/>
          <w:sz w:val="20"/>
          <w:szCs w:val="20"/>
        </w:rPr>
        <w:t>BS</w:t>
      </w:r>
    </w:p>
    <w:p w14:paraId="2B1A69D4" w14:textId="7D30B633" w:rsidR="000B71D3" w:rsidRPr="000B71D3" w:rsidRDefault="000B71D3" w:rsidP="000B71D3">
      <w:pPr>
        <w:rPr>
          <w:rFonts w:ascii="Times New Roman" w:hAnsi="Times New Roman" w:cs="Times New Roman"/>
          <w:sz w:val="20"/>
          <w:szCs w:val="20"/>
        </w:rPr>
      </w:pPr>
      <w:r w:rsidRPr="000B71D3">
        <w:rPr>
          <w:rFonts w:ascii="Times New Roman" w:hAnsi="Times New Roman" w:cs="Times New Roman"/>
          <w:sz w:val="20"/>
          <w:szCs w:val="20"/>
        </w:rPr>
        <w:t>LS #21562</w:t>
      </w:r>
    </w:p>
    <w:p w14:paraId="2F5AB1E0" w14:textId="2E5C37C7" w:rsidR="000B71D3" w:rsidRPr="000B71D3" w:rsidRDefault="000B71D3" w:rsidP="000B71D3">
      <w:pPr>
        <w:rPr>
          <w:rFonts w:ascii="Times New Roman" w:hAnsi="Times New Roman" w:cs="Times New Roman"/>
          <w:sz w:val="20"/>
          <w:szCs w:val="20"/>
        </w:rPr>
      </w:pPr>
      <w:r w:rsidRPr="000B71D3">
        <w:rPr>
          <w:rFonts w:ascii="Times New Roman" w:hAnsi="Times New Roman" w:cs="Times New Roman"/>
          <w:sz w:val="20"/>
          <w:szCs w:val="20"/>
        </w:rPr>
        <w:t>3/4/26</w:t>
      </w:r>
    </w:p>
    <w:p w14:paraId="56092DD6" w14:textId="77777777" w:rsidR="00F32958" w:rsidRDefault="00F32958" w:rsidP="00E77B60">
      <w:pPr>
        <w:pStyle w:val="NormalWeb"/>
        <w:spacing w:before="0" w:beforeAutospacing="0" w:after="0" w:afterAutospacing="0" w:line="480" w:lineRule="auto"/>
        <w:ind w:firstLine="720"/>
        <w:jc w:val="both"/>
      </w:pPr>
    </w:p>
    <w:p w14:paraId="0D5EE750" w14:textId="77777777" w:rsidR="00F32958" w:rsidRDefault="00F32958" w:rsidP="00E77B60">
      <w:pPr>
        <w:pStyle w:val="NormalWeb"/>
        <w:spacing w:before="0" w:beforeAutospacing="0" w:after="0" w:afterAutospacing="0" w:line="480" w:lineRule="auto"/>
        <w:ind w:firstLine="720"/>
        <w:jc w:val="both"/>
      </w:pPr>
    </w:p>
    <w:p w14:paraId="4BB6534B" w14:textId="77777777" w:rsidR="00E77B60" w:rsidRPr="00E77B60" w:rsidRDefault="00E77B60" w:rsidP="00E77B60">
      <w:pPr>
        <w:pStyle w:val="NormalWeb"/>
        <w:spacing w:before="0" w:beforeAutospacing="0" w:after="0" w:afterAutospacing="0"/>
        <w:jc w:val="both"/>
        <w:rPr>
          <w:sz w:val="20"/>
          <w:szCs w:val="20"/>
        </w:rPr>
      </w:pPr>
    </w:p>
    <w:sectPr w:rsidR="00E77B60" w:rsidRPr="00E77B60" w:rsidSect="00F325B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1B073" w14:textId="77777777" w:rsidR="00943C59" w:rsidRDefault="00943C59" w:rsidP="007207D1">
      <w:r>
        <w:separator/>
      </w:r>
    </w:p>
  </w:endnote>
  <w:endnote w:type="continuationSeparator" w:id="0">
    <w:p w14:paraId="37EBA938" w14:textId="77777777" w:rsidR="00943C59" w:rsidRDefault="00943C59" w:rsidP="0072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26081"/>
      <w:docPartObj>
        <w:docPartGallery w:val="Page Numbers (Bottom of Page)"/>
        <w:docPartUnique/>
      </w:docPartObj>
    </w:sdtPr>
    <w:sdtEndPr>
      <w:rPr>
        <w:rFonts w:ascii="Times New Roman" w:hAnsi="Times New Roman" w:cs="Times New Roman"/>
        <w:noProof/>
      </w:rPr>
    </w:sdtEndPr>
    <w:sdtContent>
      <w:p w14:paraId="35943C33" w14:textId="407FDA60" w:rsidR="007207D1" w:rsidRPr="00381DA9" w:rsidRDefault="007207D1">
        <w:pPr>
          <w:pStyle w:val="Footer"/>
          <w:jc w:val="center"/>
          <w:rPr>
            <w:rFonts w:ascii="Times New Roman" w:hAnsi="Times New Roman" w:cs="Times New Roman"/>
          </w:rPr>
        </w:pPr>
        <w:r w:rsidRPr="00381DA9">
          <w:rPr>
            <w:rFonts w:ascii="Times New Roman" w:hAnsi="Times New Roman" w:cs="Times New Roman"/>
          </w:rPr>
          <w:fldChar w:fldCharType="begin"/>
        </w:r>
        <w:r w:rsidRPr="00381DA9">
          <w:rPr>
            <w:rFonts w:ascii="Times New Roman" w:hAnsi="Times New Roman" w:cs="Times New Roman"/>
          </w:rPr>
          <w:instrText xml:space="preserve"> PAGE   \* MERGEFORMAT </w:instrText>
        </w:r>
        <w:r w:rsidRPr="00381DA9">
          <w:rPr>
            <w:rFonts w:ascii="Times New Roman" w:hAnsi="Times New Roman" w:cs="Times New Roman"/>
          </w:rPr>
          <w:fldChar w:fldCharType="separate"/>
        </w:r>
        <w:r w:rsidRPr="00381DA9">
          <w:rPr>
            <w:rFonts w:ascii="Times New Roman" w:hAnsi="Times New Roman" w:cs="Times New Roman"/>
            <w:noProof/>
          </w:rPr>
          <w:t>2</w:t>
        </w:r>
        <w:r w:rsidRPr="00381DA9">
          <w:rPr>
            <w:rFonts w:ascii="Times New Roman" w:hAnsi="Times New Roman" w:cs="Times New Roman"/>
            <w:noProof/>
          </w:rPr>
          <w:fldChar w:fldCharType="end"/>
        </w:r>
      </w:p>
    </w:sdtContent>
  </w:sdt>
  <w:p w14:paraId="24623DE4" w14:textId="77777777" w:rsidR="007207D1" w:rsidRDefault="00720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6007D" w14:textId="77777777" w:rsidR="00943C59" w:rsidRDefault="00943C59" w:rsidP="007207D1">
      <w:r>
        <w:separator/>
      </w:r>
    </w:p>
  </w:footnote>
  <w:footnote w:type="continuationSeparator" w:id="0">
    <w:p w14:paraId="63D2448B" w14:textId="77777777" w:rsidR="00943C59" w:rsidRDefault="00943C59" w:rsidP="00720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81A"/>
    <w:multiLevelType w:val="hybridMultilevel"/>
    <w:tmpl w:val="CED449EC"/>
    <w:lvl w:ilvl="0" w:tplc="37B2F8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3748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75A"/>
    <w:rsid w:val="00025842"/>
    <w:rsid w:val="0003055E"/>
    <w:rsid w:val="000602FA"/>
    <w:rsid w:val="00071DD1"/>
    <w:rsid w:val="000B71D3"/>
    <w:rsid w:val="001176A9"/>
    <w:rsid w:val="00132E88"/>
    <w:rsid w:val="0018179E"/>
    <w:rsid w:val="001B7C57"/>
    <w:rsid w:val="001D353F"/>
    <w:rsid w:val="00217F2A"/>
    <w:rsid w:val="0024475A"/>
    <w:rsid w:val="002460AC"/>
    <w:rsid w:val="0025775D"/>
    <w:rsid w:val="002646A9"/>
    <w:rsid w:val="00281691"/>
    <w:rsid w:val="00293C3B"/>
    <w:rsid w:val="002A1142"/>
    <w:rsid w:val="002A5081"/>
    <w:rsid w:val="002A62B8"/>
    <w:rsid w:val="002B1C50"/>
    <w:rsid w:val="002D21EF"/>
    <w:rsid w:val="002D4DEA"/>
    <w:rsid w:val="002D7BCE"/>
    <w:rsid w:val="002E1E9F"/>
    <w:rsid w:val="00381DA9"/>
    <w:rsid w:val="003E5D8E"/>
    <w:rsid w:val="004054DB"/>
    <w:rsid w:val="0040576D"/>
    <w:rsid w:val="00422A6B"/>
    <w:rsid w:val="00451ADF"/>
    <w:rsid w:val="00473472"/>
    <w:rsid w:val="004E1D40"/>
    <w:rsid w:val="005105F8"/>
    <w:rsid w:val="00520905"/>
    <w:rsid w:val="0054473C"/>
    <w:rsid w:val="005932A7"/>
    <w:rsid w:val="0059631C"/>
    <w:rsid w:val="00597CC5"/>
    <w:rsid w:val="005C107C"/>
    <w:rsid w:val="00602950"/>
    <w:rsid w:val="0061408A"/>
    <w:rsid w:val="006172ED"/>
    <w:rsid w:val="0064501F"/>
    <w:rsid w:val="006550B2"/>
    <w:rsid w:val="0066673F"/>
    <w:rsid w:val="00684A82"/>
    <w:rsid w:val="006A4061"/>
    <w:rsid w:val="006D2ABB"/>
    <w:rsid w:val="006D7D26"/>
    <w:rsid w:val="00705C07"/>
    <w:rsid w:val="00714DE8"/>
    <w:rsid w:val="007207D1"/>
    <w:rsid w:val="007946ED"/>
    <w:rsid w:val="00795005"/>
    <w:rsid w:val="007A354B"/>
    <w:rsid w:val="007B2D52"/>
    <w:rsid w:val="00804F02"/>
    <w:rsid w:val="00847F81"/>
    <w:rsid w:val="00882C71"/>
    <w:rsid w:val="008840EA"/>
    <w:rsid w:val="008A44A1"/>
    <w:rsid w:val="008A64F0"/>
    <w:rsid w:val="008B7B42"/>
    <w:rsid w:val="00930178"/>
    <w:rsid w:val="00943C59"/>
    <w:rsid w:val="00963689"/>
    <w:rsid w:val="009817FE"/>
    <w:rsid w:val="009B3C07"/>
    <w:rsid w:val="00A73793"/>
    <w:rsid w:val="00A9754E"/>
    <w:rsid w:val="00AB20C9"/>
    <w:rsid w:val="00AC1670"/>
    <w:rsid w:val="00B04E84"/>
    <w:rsid w:val="00B20AF5"/>
    <w:rsid w:val="00B616A9"/>
    <w:rsid w:val="00B7232E"/>
    <w:rsid w:val="00B7497D"/>
    <w:rsid w:val="00C0135C"/>
    <w:rsid w:val="00C271A3"/>
    <w:rsid w:val="00C666CF"/>
    <w:rsid w:val="00C86D5C"/>
    <w:rsid w:val="00C94BF5"/>
    <w:rsid w:val="00CB5E8B"/>
    <w:rsid w:val="00CE1F90"/>
    <w:rsid w:val="00CE7980"/>
    <w:rsid w:val="00D0763E"/>
    <w:rsid w:val="00D33D8C"/>
    <w:rsid w:val="00D35219"/>
    <w:rsid w:val="00D469EA"/>
    <w:rsid w:val="00D865CD"/>
    <w:rsid w:val="00DA0267"/>
    <w:rsid w:val="00DA67F6"/>
    <w:rsid w:val="00DB73D2"/>
    <w:rsid w:val="00DF0F7A"/>
    <w:rsid w:val="00E06F62"/>
    <w:rsid w:val="00E21504"/>
    <w:rsid w:val="00E2182A"/>
    <w:rsid w:val="00E23648"/>
    <w:rsid w:val="00E627DC"/>
    <w:rsid w:val="00E77B60"/>
    <w:rsid w:val="00EE3688"/>
    <w:rsid w:val="00EE7FE3"/>
    <w:rsid w:val="00EF65F8"/>
    <w:rsid w:val="00F10867"/>
    <w:rsid w:val="00F325B7"/>
    <w:rsid w:val="00F32958"/>
    <w:rsid w:val="00F42BBE"/>
    <w:rsid w:val="00F47B32"/>
    <w:rsid w:val="00F76022"/>
    <w:rsid w:val="00FD565B"/>
    <w:rsid w:val="27D22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7101"/>
  <w14:defaultImageDpi w14:val="32767"/>
  <w15:chartTrackingRefBased/>
  <w15:docId w15:val="{9D5A4AF1-F7FA-5543-8EE1-DB705B62A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475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4475A"/>
    <w:rPr>
      <w:b/>
      <w:bCs/>
    </w:rPr>
  </w:style>
  <w:style w:type="paragraph" w:styleId="BalloonText">
    <w:name w:val="Balloon Text"/>
    <w:basedOn w:val="Normal"/>
    <w:link w:val="BalloonTextChar"/>
    <w:uiPriority w:val="99"/>
    <w:semiHidden/>
    <w:unhideWhenUsed/>
    <w:rsid w:val="002577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75D"/>
    <w:rPr>
      <w:rFonts w:ascii="Segoe UI" w:hAnsi="Segoe UI" w:cs="Segoe UI"/>
      <w:sz w:val="18"/>
      <w:szCs w:val="18"/>
    </w:rPr>
  </w:style>
  <w:style w:type="paragraph" w:styleId="HTMLPreformatted">
    <w:name w:val="HTML Preformatted"/>
    <w:basedOn w:val="Normal"/>
    <w:link w:val="HTMLPreformattedChar"/>
    <w:uiPriority w:val="99"/>
    <w:semiHidden/>
    <w:unhideWhenUsed/>
    <w:rsid w:val="00F3295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32958"/>
    <w:rPr>
      <w:rFonts w:ascii="Consolas" w:hAnsi="Consolas"/>
      <w:sz w:val="20"/>
      <w:szCs w:val="20"/>
    </w:rPr>
  </w:style>
  <w:style w:type="paragraph" w:styleId="Revision">
    <w:name w:val="Revision"/>
    <w:hidden/>
    <w:uiPriority w:val="99"/>
    <w:semiHidden/>
    <w:rsid w:val="00963689"/>
  </w:style>
  <w:style w:type="character" w:styleId="CommentReference">
    <w:name w:val="annotation reference"/>
    <w:basedOn w:val="DefaultParagraphFont"/>
    <w:uiPriority w:val="99"/>
    <w:semiHidden/>
    <w:unhideWhenUsed/>
    <w:rsid w:val="00963689"/>
    <w:rPr>
      <w:sz w:val="16"/>
      <w:szCs w:val="16"/>
    </w:rPr>
  </w:style>
  <w:style w:type="paragraph" w:styleId="CommentText">
    <w:name w:val="annotation text"/>
    <w:basedOn w:val="Normal"/>
    <w:link w:val="CommentTextChar"/>
    <w:uiPriority w:val="99"/>
    <w:unhideWhenUsed/>
    <w:rsid w:val="00963689"/>
    <w:rPr>
      <w:sz w:val="20"/>
      <w:szCs w:val="20"/>
    </w:rPr>
  </w:style>
  <w:style w:type="character" w:customStyle="1" w:styleId="CommentTextChar">
    <w:name w:val="Comment Text Char"/>
    <w:basedOn w:val="DefaultParagraphFont"/>
    <w:link w:val="CommentText"/>
    <w:uiPriority w:val="99"/>
    <w:rsid w:val="00963689"/>
    <w:rPr>
      <w:sz w:val="20"/>
      <w:szCs w:val="20"/>
    </w:rPr>
  </w:style>
  <w:style w:type="paragraph" w:styleId="CommentSubject">
    <w:name w:val="annotation subject"/>
    <w:basedOn w:val="CommentText"/>
    <w:next w:val="CommentText"/>
    <w:link w:val="CommentSubjectChar"/>
    <w:uiPriority w:val="99"/>
    <w:semiHidden/>
    <w:unhideWhenUsed/>
    <w:rsid w:val="00963689"/>
    <w:rPr>
      <w:b/>
      <w:bCs/>
    </w:rPr>
  </w:style>
  <w:style w:type="character" w:customStyle="1" w:styleId="CommentSubjectChar">
    <w:name w:val="Comment Subject Char"/>
    <w:basedOn w:val="CommentTextChar"/>
    <w:link w:val="CommentSubject"/>
    <w:uiPriority w:val="99"/>
    <w:semiHidden/>
    <w:rsid w:val="00963689"/>
    <w:rPr>
      <w:b/>
      <w:bCs/>
      <w:sz w:val="20"/>
      <w:szCs w:val="20"/>
    </w:rPr>
  </w:style>
  <w:style w:type="paragraph" w:styleId="Header">
    <w:name w:val="header"/>
    <w:basedOn w:val="Normal"/>
    <w:link w:val="HeaderChar"/>
    <w:uiPriority w:val="99"/>
    <w:unhideWhenUsed/>
    <w:rsid w:val="007207D1"/>
    <w:pPr>
      <w:tabs>
        <w:tab w:val="center" w:pos="4680"/>
        <w:tab w:val="right" w:pos="9360"/>
      </w:tabs>
    </w:pPr>
  </w:style>
  <w:style w:type="character" w:customStyle="1" w:styleId="HeaderChar">
    <w:name w:val="Header Char"/>
    <w:basedOn w:val="DefaultParagraphFont"/>
    <w:link w:val="Header"/>
    <w:uiPriority w:val="99"/>
    <w:rsid w:val="007207D1"/>
  </w:style>
  <w:style w:type="paragraph" w:styleId="Footer">
    <w:name w:val="footer"/>
    <w:basedOn w:val="Normal"/>
    <w:link w:val="FooterChar"/>
    <w:uiPriority w:val="99"/>
    <w:unhideWhenUsed/>
    <w:rsid w:val="007207D1"/>
    <w:pPr>
      <w:tabs>
        <w:tab w:val="center" w:pos="4680"/>
        <w:tab w:val="right" w:pos="9360"/>
      </w:tabs>
    </w:pPr>
  </w:style>
  <w:style w:type="character" w:customStyle="1" w:styleId="FooterChar">
    <w:name w:val="Footer Char"/>
    <w:basedOn w:val="DefaultParagraphFont"/>
    <w:link w:val="Footer"/>
    <w:uiPriority w:val="99"/>
    <w:rsid w:val="00720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1056">
      <w:bodyDiv w:val="1"/>
      <w:marLeft w:val="0"/>
      <w:marRight w:val="0"/>
      <w:marTop w:val="0"/>
      <w:marBottom w:val="0"/>
      <w:divBdr>
        <w:top w:val="none" w:sz="0" w:space="0" w:color="auto"/>
        <w:left w:val="none" w:sz="0" w:space="0" w:color="auto"/>
        <w:bottom w:val="none" w:sz="0" w:space="0" w:color="auto"/>
        <w:right w:val="none" w:sz="0" w:space="0" w:color="auto"/>
      </w:divBdr>
    </w:div>
    <w:div w:id="117989430">
      <w:bodyDiv w:val="1"/>
      <w:marLeft w:val="0"/>
      <w:marRight w:val="0"/>
      <w:marTop w:val="0"/>
      <w:marBottom w:val="0"/>
      <w:divBdr>
        <w:top w:val="none" w:sz="0" w:space="0" w:color="auto"/>
        <w:left w:val="none" w:sz="0" w:space="0" w:color="auto"/>
        <w:bottom w:val="none" w:sz="0" w:space="0" w:color="auto"/>
        <w:right w:val="none" w:sz="0" w:space="0" w:color="auto"/>
      </w:divBdr>
    </w:div>
    <w:div w:id="412506240">
      <w:bodyDiv w:val="1"/>
      <w:marLeft w:val="0"/>
      <w:marRight w:val="0"/>
      <w:marTop w:val="0"/>
      <w:marBottom w:val="0"/>
      <w:divBdr>
        <w:top w:val="none" w:sz="0" w:space="0" w:color="auto"/>
        <w:left w:val="none" w:sz="0" w:space="0" w:color="auto"/>
        <w:bottom w:val="none" w:sz="0" w:space="0" w:color="auto"/>
        <w:right w:val="none" w:sz="0" w:space="0" w:color="auto"/>
      </w:divBdr>
    </w:div>
    <w:div w:id="555509511">
      <w:bodyDiv w:val="1"/>
      <w:marLeft w:val="0"/>
      <w:marRight w:val="0"/>
      <w:marTop w:val="0"/>
      <w:marBottom w:val="0"/>
      <w:divBdr>
        <w:top w:val="none" w:sz="0" w:space="0" w:color="auto"/>
        <w:left w:val="none" w:sz="0" w:space="0" w:color="auto"/>
        <w:bottom w:val="none" w:sz="0" w:space="0" w:color="auto"/>
        <w:right w:val="none" w:sz="0" w:space="0" w:color="auto"/>
      </w:divBdr>
    </w:div>
    <w:div w:id="1092049683">
      <w:bodyDiv w:val="1"/>
      <w:marLeft w:val="0"/>
      <w:marRight w:val="0"/>
      <w:marTop w:val="0"/>
      <w:marBottom w:val="0"/>
      <w:divBdr>
        <w:top w:val="none" w:sz="0" w:space="0" w:color="auto"/>
        <w:left w:val="none" w:sz="0" w:space="0" w:color="auto"/>
        <w:bottom w:val="none" w:sz="0" w:space="0" w:color="auto"/>
        <w:right w:val="none" w:sz="0" w:space="0" w:color="auto"/>
      </w:divBdr>
    </w:div>
    <w:div w:id="1382824960">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941451281">
      <w:bodyDiv w:val="1"/>
      <w:marLeft w:val="0"/>
      <w:marRight w:val="0"/>
      <w:marTop w:val="0"/>
      <w:marBottom w:val="0"/>
      <w:divBdr>
        <w:top w:val="none" w:sz="0" w:space="0" w:color="auto"/>
        <w:left w:val="none" w:sz="0" w:space="0" w:color="auto"/>
        <w:bottom w:val="none" w:sz="0" w:space="0" w:color="auto"/>
        <w:right w:val="none" w:sz="0" w:space="0" w:color="auto"/>
      </w:divBdr>
    </w:div>
    <w:div w:id="207003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1070E3AB2F3A44A005D6DED4B05965" ma:contentTypeVersion="6" ma:contentTypeDescription="Create a new document." ma:contentTypeScope="" ma:versionID="c0d4144cdbd082cd8157432a8fd385b8">
  <xsd:schema xmlns:xsd="http://www.w3.org/2001/XMLSchema" xmlns:xs="http://www.w3.org/2001/XMLSchema" xmlns:p="http://schemas.microsoft.com/office/2006/metadata/properties" xmlns:ns3="2ffd4134-6f2d-4c59-94ef-2c3fa0af191d" targetNamespace="http://schemas.microsoft.com/office/2006/metadata/properties" ma:root="true" ma:fieldsID="6c131ea63585a0d133c753843df82f55" ns3:_="">
    <xsd:import namespace="2ffd4134-6f2d-4c59-94ef-2c3fa0af191d"/>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d4134-6f2d-4c59-94ef-2c3fa0af191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ffd4134-6f2d-4c59-94ef-2c3fa0af191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AD1F7-9DD7-4D88-B2FA-1486BD189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d4134-6f2d-4c59-94ef-2c3fa0af1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2D63C2-F829-4B6E-88E0-54FCC216CC34}">
  <ds:schemaRefs>
    <ds:schemaRef ds:uri="http://schemas.microsoft.com/sharepoint/v3/contenttype/forms"/>
  </ds:schemaRefs>
</ds:datastoreItem>
</file>

<file path=customXml/itemProps3.xml><?xml version="1.0" encoding="utf-8"?>
<ds:datastoreItem xmlns:ds="http://schemas.openxmlformats.org/officeDocument/2006/customXml" ds:itemID="{CDFDFCA8-1D93-4E35-90CD-8CAF3A834978}">
  <ds:schemaRefs>
    <ds:schemaRef ds:uri="http://schemas.microsoft.com/office/2006/metadata/properties"/>
    <ds:schemaRef ds:uri="http://schemas.microsoft.com/office/infopath/2007/PartnerControls"/>
    <ds:schemaRef ds:uri="2ffd4134-6f2d-4c59-94ef-2c3fa0af191d"/>
  </ds:schemaRefs>
</ds:datastoreItem>
</file>

<file path=customXml/itemProps4.xml><?xml version="1.0" encoding="utf-8"?>
<ds:datastoreItem xmlns:ds="http://schemas.openxmlformats.org/officeDocument/2006/customXml" ds:itemID="{612AD422-4B8A-4EF9-8463-123F0220F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Arzt</dc:creator>
  <cp:keywords/>
  <dc:description/>
  <cp:lastModifiedBy>Martin, William</cp:lastModifiedBy>
  <cp:revision>5</cp:revision>
  <dcterms:created xsi:type="dcterms:W3CDTF">2026-03-04T22:16:00Z</dcterms:created>
  <dcterms:modified xsi:type="dcterms:W3CDTF">2026-03-23T13:35:00Z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0x010100131070E3AB2F3A44A005D6DED4B05965</vt:lpwstr>
  </property>
</Properties>
</file>