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828A7" w14:textId="3C147FF2" w:rsidR="00260036" w:rsidRPr="004C4815" w:rsidRDefault="00260036" w:rsidP="00260036">
      <w:pPr>
        <w:spacing w:after="0" w:line="240" w:lineRule="auto"/>
        <w:jc w:val="center"/>
        <w:rPr>
          <w:rFonts w:ascii="Times New Roman" w:hAnsi="Times New Roman" w:cs="Times New Roman"/>
          <w:sz w:val="24"/>
          <w:szCs w:val="24"/>
        </w:rPr>
      </w:pPr>
      <w:r w:rsidRPr="004C4815">
        <w:rPr>
          <w:rFonts w:ascii="Times New Roman" w:hAnsi="Times New Roman" w:cs="Times New Roman"/>
          <w:sz w:val="24"/>
          <w:szCs w:val="24"/>
        </w:rPr>
        <w:t>Res. No.</w:t>
      </w:r>
      <w:r>
        <w:rPr>
          <w:rFonts w:ascii="Times New Roman" w:hAnsi="Times New Roman" w:cs="Times New Roman"/>
          <w:sz w:val="24"/>
          <w:szCs w:val="24"/>
        </w:rPr>
        <w:t xml:space="preserve"> </w:t>
      </w:r>
      <w:r w:rsidR="004444CF">
        <w:rPr>
          <w:rFonts w:ascii="Times New Roman" w:hAnsi="Times New Roman" w:cs="Times New Roman"/>
          <w:sz w:val="24"/>
          <w:szCs w:val="24"/>
        </w:rPr>
        <w:t>354</w:t>
      </w:r>
    </w:p>
    <w:p w14:paraId="075828A8" w14:textId="77777777" w:rsidR="00260036" w:rsidRDefault="00260036" w:rsidP="00260036">
      <w:pPr>
        <w:spacing w:after="0" w:line="240" w:lineRule="auto"/>
        <w:rPr>
          <w:rFonts w:ascii="Times New Roman" w:hAnsi="Times New Roman" w:cs="Times New Roman"/>
          <w:sz w:val="24"/>
          <w:szCs w:val="24"/>
        </w:rPr>
      </w:pPr>
    </w:p>
    <w:p w14:paraId="075828A9" w14:textId="77777777" w:rsidR="00260036" w:rsidRPr="00E92321" w:rsidRDefault="00260036" w:rsidP="00260036">
      <w:pPr>
        <w:spacing w:after="0" w:line="240" w:lineRule="auto"/>
        <w:jc w:val="both"/>
        <w:rPr>
          <w:rFonts w:ascii="Times New Roman" w:hAnsi="Times New Roman" w:cs="Times New Roman"/>
          <w:vanish/>
          <w:sz w:val="24"/>
          <w:szCs w:val="24"/>
        </w:rPr>
      </w:pPr>
      <w:r w:rsidRPr="00E92321">
        <w:rPr>
          <w:rFonts w:ascii="Times New Roman" w:hAnsi="Times New Roman" w:cs="Times New Roman"/>
          <w:vanish/>
          <w:sz w:val="24"/>
          <w:szCs w:val="24"/>
        </w:rPr>
        <w:t>..Title</w:t>
      </w:r>
    </w:p>
    <w:p w14:paraId="075828AA" w14:textId="21AFC77B" w:rsidR="00260036" w:rsidRDefault="00260036" w:rsidP="002600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Resolution calling on</w:t>
      </w:r>
      <w:r w:rsidRPr="004C4815">
        <w:rPr>
          <w:rFonts w:ascii="Times New Roman" w:hAnsi="Times New Roman" w:cs="Times New Roman"/>
          <w:sz w:val="24"/>
          <w:szCs w:val="24"/>
        </w:rPr>
        <w:t xml:space="preserve"> </w:t>
      </w:r>
      <w:r>
        <w:rPr>
          <w:rFonts w:ascii="Times New Roman" w:hAnsi="Times New Roman" w:cs="Times New Roman"/>
          <w:sz w:val="24"/>
          <w:szCs w:val="24"/>
        </w:rPr>
        <w:t>the Governor to declare ant</w:t>
      </w:r>
      <w:r w:rsidR="00761A88">
        <w:rPr>
          <w:rFonts w:ascii="Times New Roman" w:hAnsi="Times New Roman" w:cs="Times New Roman"/>
          <w:sz w:val="24"/>
          <w:szCs w:val="24"/>
        </w:rPr>
        <w:t>i-Black racism a public health issue</w:t>
      </w:r>
    </w:p>
    <w:p w14:paraId="075828AB" w14:textId="77777777" w:rsidR="00260036" w:rsidRPr="00E92321" w:rsidRDefault="00260036" w:rsidP="00260036">
      <w:pPr>
        <w:spacing w:after="0" w:line="240" w:lineRule="auto"/>
        <w:jc w:val="both"/>
        <w:rPr>
          <w:rFonts w:ascii="Times New Roman" w:hAnsi="Times New Roman" w:cs="Times New Roman"/>
          <w:vanish/>
          <w:sz w:val="24"/>
          <w:szCs w:val="24"/>
        </w:rPr>
      </w:pPr>
      <w:r w:rsidRPr="00E92321">
        <w:rPr>
          <w:rFonts w:ascii="Times New Roman" w:hAnsi="Times New Roman" w:cs="Times New Roman"/>
          <w:vanish/>
          <w:sz w:val="24"/>
          <w:szCs w:val="24"/>
        </w:rPr>
        <w:t>..Body</w:t>
      </w:r>
    </w:p>
    <w:p w14:paraId="075828AC" w14:textId="77777777" w:rsidR="00260036" w:rsidRPr="004C4815" w:rsidRDefault="00260036" w:rsidP="00260036">
      <w:pPr>
        <w:spacing w:after="0" w:line="240" w:lineRule="auto"/>
        <w:jc w:val="both"/>
        <w:rPr>
          <w:rFonts w:ascii="Times New Roman" w:hAnsi="Times New Roman" w:cs="Times New Roman"/>
          <w:sz w:val="24"/>
          <w:szCs w:val="24"/>
        </w:rPr>
      </w:pPr>
    </w:p>
    <w:p w14:paraId="54A70586" w14:textId="77777777" w:rsidR="001740DD" w:rsidRDefault="001740DD" w:rsidP="001740D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By Council Members Louis, Stevens, Brooks-Powers and Banks</w:t>
      </w:r>
    </w:p>
    <w:p w14:paraId="075828AE" w14:textId="77777777" w:rsidR="00260036" w:rsidRDefault="00260036" w:rsidP="00260036">
      <w:pPr>
        <w:spacing w:after="0" w:line="240" w:lineRule="auto"/>
        <w:jc w:val="both"/>
        <w:rPr>
          <w:rFonts w:ascii="Times New Roman" w:hAnsi="Times New Roman" w:cs="Times New Roman"/>
          <w:sz w:val="24"/>
          <w:szCs w:val="24"/>
        </w:rPr>
      </w:pPr>
    </w:p>
    <w:p w14:paraId="075828AF" w14:textId="77777777" w:rsidR="00260036" w:rsidRDefault="00260036" w:rsidP="00260036">
      <w:pPr>
        <w:spacing w:after="0" w:line="480" w:lineRule="auto"/>
        <w:ind w:firstLine="720"/>
        <w:jc w:val="both"/>
        <w:rPr>
          <w:rFonts w:ascii="Times New Roman" w:hAnsi="Times New Roman" w:cs="Times New Roman"/>
          <w:sz w:val="24"/>
          <w:szCs w:val="24"/>
          <w:shd w:val="clear" w:color="auto" w:fill="FFFFFF"/>
        </w:rPr>
      </w:pPr>
      <w:r w:rsidRPr="004C4815">
        <w:rPr>
          <w:rFonts w:ascii="Times New Roman" w:hAnsi="Times New Roman" w:cs="Times New Roman"/>
          <w:sz w:val="24"/>
          <w:szCs w:val="24"/>
          <w:shd w:val="clear" w:color="auto" w:fill="FFFFFF"/>
        </w:rPr>
        <w:t xml:space="preserve">Whereas, </w:t>
      </w:r>
      <w:r w:rsidR="00761A88">
        <w:rPr>
          <w:rFonts w:ascii="Times New Roman" w:hAnsi="Times New Roman" w:cs="Times New Roman"/>
          <w:sz w:val="24"/>
          <w:szCs w:val="24"/>
          <w:shd w:val="clear" w:color="auto" w:fill="FFFFFF"/>
        </w:rPr>
        <w:t>According to the Center for Disease Control and Prevention</w:t>
      </w:r>
      <w:r w:rsidR="007D7559">
        <w:rPr>
          <w:rFonts w:ascii="Times New Roman" w:hAnsi="Times New Roman" w:cs="Times New Roman"/>
          <w:sz w:val="24"/>
          <w:szCs w:val="24"/>
          <w:shd w:val="clear" w:color="auto" w:fill="FFFFFF"/>
        </w:rPr>
        <w:t xml:space="preserve"> (CDC), racism can adversely affect both the mental and physical health of individuals; </w:t>
      </w:r>
      <w:r>
        <w:rPr>
          <w:rFonts w:ascii="Times New Roman" w:hAnsi="Times New Roman" w:cs="Times New Roman"/>
          <w:sz w:val="24"/>
          <w:szCs w:val="24"/>
          <w:shd w:val="clear" w:color="auto" w:fill="FFFFFF"/>
        </w:rPr>
        <w:t>and</w:t>
      </w:r>
    </w:p>
    <w:p w14:paraId="075828B0" w14:textId="77777777" w:rsidR="00FD5E9C" w:rsidRPr="00FD5E9C" w:rsidRDefault="00FD5E9C" w:rsidP="00FD5E9C">
      <w:pPr>
        <w:spacing w:after="0" w:line="48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Whereas, Both structural and interpersonal racism can play roles in causing health inequity; and</w:t>
      </w:r>
    </w:p>
    <w:p w14:paraId="075828B1" w14:textId="77777777" w:rsidR="007D7559" w:rsidRDefault="00260036" w:rsidP="007D7559">
      <w:pPr>
        <w:shd w:val="clear" w:color="auto" w:fill="FFFFFF"/>
        <w:spacing w:after="150" w:line="480" w:lineRule="auto"/>
        <w:ind w:firstLine="720"/>
        <w:contextualSpacing/>
        <w:jc w:val="both"/>
        <w:rPr>
          <w:rFonts w:ascii="Times New Roman" w:hAnsi="Times New Roman" w:cs="Times New Roman"/>
          <w:sz w:val="24"/>
          <w:szCs w:val="24"/>
        </w:rPr>
      </w:pPr>
      <w:r w:rsidRPr="004C4815">
        <w:rPr>
          <w:rFonts w:ascii="Times New Roman" w:hAnsi="Times New Roman" w:cs="Times New Roman"/>
          <w:sz w:val="24"/>
          <w:szCs w:val="24"/>
        </w:rPr>
        <w:t xml:space="preserve">Whereas, </w:t>
      </w:r>
      <w:r w:rsidR="007D7559">
        <w:rPr>
          <w:rFonts w:ascii="Times New Roman" w:hAnsi="Times New Roman" w:cs="Times New Roman"/>
          <w:sz w:val="24"/>
          <w:szCs w:val="24"/>
        </w:rPr>
        <w:t>The CDC defines social determinants of health (SDOH) as nonmedical factors that influence health outcomes</w:t>
      </w:r>
      <w:r w:rsidR="00FD5E9C">
        <w:rPr>
          <w:rFonts w:ascii="Times New Roman" w:hAnsi="Times New Roman" w:cs="Times New Roman"/>
          <w:sz w:val="24"/>
          <w:szCs w:val="24"/>
        </w:rPr>
        <w:t xml:space="preserve">, such as political systems, social norms, </w:t>
      </w:r>
      <w:r w:rsidR="007D7559">
        <w:rPr>
          <w:rFonts w:ascii="Times New Roman" w:hAnsi="Times New Roman" w:cs="Times New Roman"/>
          <w:sz w:val="24"/>
          <w:szCs w:val="24"/>
        </w:rPr>
        <w:t>housing, education, wealth, and employment; and</w:t>
      </w:r>
    </w:p>
    <w:p w14:paraId="075828B2" w14:textId="77777777" w:rsidR="003F173A" w:rsidRPr="003F173A" w:rsidRDefault="003F173A" w:rsidP="003F173A">
      <w:pPr>
        <w:shd w:val="clear" w:color="auto" w:fill="FFFFFF"/>
        <w:spacing w:after="150" w:line="480" w:lineRule="auto"/>
        <w:ind w:firstLine="720"/>
        <w:contextualSpacing/>
        <w:jc w:val="both"/>
        <w:rPr>
          <w:rFonts w:ascii="Times New Roman" w:eastAsia="Times New Roman" w:hAnsi="Times New Roman" w:cs="Times New Roman"/>
          <w:sz w:val="24"/>
          <w:szCs w:val="24"/>
        </w:rPr>
      </w:pPr>
      <w:r>
        <w:rPr>
          <w:rFonts w:ascii="Times New Roman" w:hAnsi="Times New Roman" w:cs="Times New Roman"/>
          <w:sz w:val="24"/>
          <w:szCs w:val="24"/>
        </w:rPr>
        <w:t>Whereas, As part of its Healthy People 2030 initiative, the United States Department of Health and Human Services has identified SDOH  as one of three priority areas; and</w:t>
      </w:r>
    </w:p>
    <w:p w14:paraId="075828B3" w14:textId="77777777" w:rsidR="00FD5E9C" w:rsidRDefault="00FD5E9C" w:rsidP="007D7559">
      <w:pPr>
        <w:shd w:val="clear" w:color="auto" w:fill="FFFFFF"/>
        <w:spacing w:after="150"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Whereas, The American Medical Association (AMA) published a study in 2021 comparing all-cause mortality rates and inequities between Black and white populations across the 30 most populous cities in the United States; and</w:t>
      </w:r>
    </w:p>
    <w:p w14:paraId="075828B4" w14:textId="77777777" w:rsidR="00FD5E9C" w:rsidRDefault="00FD5E9C" w:rsidP="007D7559">
      <w:pPr>
        <w:shd w:val="clear" w:color="auto" w:fill="FFFFFF"/>
        <w:spacing w:after="150"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Whereas, The AMA’s study found that the all-cause mortality rate among Black populations was 24 percent higher than among white populations nationally, resulting in 74,402 excess deaths of Black individuals annually; and</w:t>
      </w:r>
    </w:p>
    <w:p w14:paraId="075828B5" w14:textId="77777777" w:rsidR="003F173A" w:rsidRDefault="003F173A" w:rsidP="007D7559">
      <w:pPr>
        <w:shd w:val="clear" w:color="auto" w:fill="FFFFFF"/>
        <w:spacing w:after="150"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Whereas, The New York State Office of Health Equity and Human Rights defines health disparities as measureable differences in health status, access to care, and quality of care as determined by race, ethnicity, sexual orientation, gender identity, preferred language other than English, gender expression, disability status, aging population, immigration status, and socioeconomic status; and</w:t>
      </w:r>
    </w:p>
    <w:p w14:paraId="075828B6" w14:textId="77777777" w:rsidR="00BA54A5" w:rsidRDefault="00BA54A5" w:rsidP="007D7559">
      <w:pPr>
        <w:shd w:val="clear" w:color="auto" w:fill="FFFFFF"/>
        <w:spacing w:after="150"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lastRenderedPageBreak/>
        <w:t>Whereas, With regard to access to care and quality of care, there has long been a history of medical mistrust among Black individuals; and</w:t>
      </w:r>
    </w:p>
    <w:p w14:paraId="075828B7" w14:textId="77777777" w:rsidR="00BA54A5" w:rsidRDefault="00BA54A5" w:rsidP="007D7559">
      <w:pPr>
        <w:shd w:val="clear" w:color="auto" w:fill="FFFFFF"/>
        <w:spacing w:after="150"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Whereas, Historical mistreatment of Black people in medicine and science has included the forced sterilization of Black women, experimentation on slaves, and even the withholding medical treatment for Black men during the Tuskegee syphilis study, in order for doctors to be able to track the course of the disease; and</w:t>
      </w:r>
    </w:p>
    <w:p w14:paraId="075828B8" w14:textId="77777777" w:rsidR="00BA54A5" w:rsidRDefault="00BA54A5" w:rsidP="007D7559">
      <w:pPr>
        <w:shd w:val="clear" w:color="auto" w:fill="FFFFFF"/>
        <w:spacing w:after="150"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Whereas, A study published in the National Library of Medicine (NLM) found that Black patients are regularly undertreated for pain in comparison to white patients; and</w:t>
      </w:r>
    </w:p>
    <w:p w14:paraId="075828B9" w14:textId="77777777" w:rsidR="00BA54A5" w:rsidRDefault="00BA54A5" w:rsidP="007D7559">
      <w:pPr>
        <w:shd w:val="clear" w:color="auto" w:fill="FFFFFF"/>
        <w:spacing w:after="150"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Whereas, Another study published in the NLM found that about half of all medical students and residents held one or more incorrect beliefs about biological differences between Black and white patients; and</w:t>
      </w:r>
    </w:p>
    <w:p w14:paraId="075828BA" w14:textId="77777777" w:rsidR="003F173A" w:rsidRDefault="003F173A" w:rsidP="007D7559">
      <w:pPr>
        <w:shd w:val="clear" w:color="auto" w:fill="FFFFFF"/>
        <w:spacing w:after="150"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Whereas, The New York State Department of Health (NYSDOH) has been making efforts to mitigate and prevent health disparities for many years; and</w:t>
      </w:r>
    </w:p>
    <w:p w14:paraId="075828BB" w14:textId="77777777" w:rsidR="003F173A" w:rsidRDefault="003F173A" w:rsidP="007D7559">
      <w:pPr>
        <w:shd w:val="clear" w:color="auto" w:fill="FFFFFF"/>
        <w:spacing w:after="150"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Whereas, As a part of these efforts, NYSDOH has been publishing community-based health equity reports since 2007; and </w:t>
      </w:r>
    </w:p>
    <w:p w14:paraId="075828BC" w14:textId="77777777" w:rsidR="003F173A" w:rsidRDefault="00FD5E9C" w:rsidP="003F173A">
      <w:pPr>
        <w:shd w:val="clear" w:color="auto" w:fill="FFFFFF"/>
        <w:spacing w:after="150" w:line="480" w:lineRule="auto"/>
        <w:ind w:left="720"/>
        <w:contextualSpacing/>
        <w:jc w:val="both"/>
        <w:rPr>
          <w:rFonts w:ascii="Times New Roman" w:hAnsi="Times New Roman" w:cs="Times New Roman"/>
          <w:sz w:val="24"/>
          <w:szCs w:val="24"/>
        </w:rPr>
      </w:pPr>
      <w:r>
        <w:rPr>
          <w:rFonts w:ascii="Times New Roman" w:hAnsi="Times New Roman" w:cs="Times New Roman"/>
          <w:sz w:val="24"/>
          <w:szCs w:val="24"/>
        </w:rPr>
        <w:t xml:space="preserve">Whereas, </w:t>
      </w:r>
      <w:r w:rsidR="003F173A">
        <w:rPr>
          <w:rFonts w:ascii="Times New Roman" w:hAnsi="Times New Roman" w:cs="Times New Roman"/>
          <w:sz w:val="24"/>
          <w:szCs w:val="24"/>
        </w:rPr>
        <w:t>The New York City Department of Health and Mental Hygiene (DOHMH), has</w:t>
      </w:r>
    </w:p>
    <w:p w14:paraId="075828BD" w14:textId="77777777" w:rsidR="003F173A" w:rsidRDefault="003F173A" w:rsidP="003F173A">
      <w:pPr>
        <w:shd w:val="clear" w:color="auto" w:fill="FFFFFF"/>
        <w:spacing w:after="150" w:line="480" w:lineRule="auto"/>
        <w:contextualSpacing/>
        <w:jc w:val="both"/>
        <w:rPr>
          <w:rFonts w:ascii="Times New Roman" w:hAnsi="Times New Roman" w:cs="Times New Roman"/>
          <w:sz w:val="24"/>
          <w:szCs w:val="24"/>
        </w:rPr>
      </w:pPr>
      <w:r>
        <w:rPr>
          <w:rFonts w:ascii="Times New Roman" w:hAnsi="Times New Roman" w:cs="Times New Roman"/>
          <w:sz w:val="24"/>
          <w:szCs w:val="24"/>
        </w:rPr>
        <w:t>been publishing an ongoing series on health disparities within the City; and</w:t>
      </w:r>
    </w:p>
    <w:p w14:paraId="075828BE" w14:textId="77777777" w:rsidR="003F173A" w:rsidRDefault="003F173A" w:rsidP="003F173A">
      <w:pPr>
        <w:shd w:val="clear" w:color="auto" w:fill="FFFFFF"/>
        <w:spacing w:after="150" w:line="480" w:lineRule="auto"/>
        <w:contextualSpacing/>
        <w:jc w:val="both"/>
        <w:rPr>
          <w:rFonts w:ascii="Times New Roman" w:hAnsi="Times New Roman" w:cs="Times New Roman"/>
          <w:sz w:val="24"/>
          <w:szCs w:val="24"/>
        </w:rPr>
      </w:pPr>
      <w:r>
        <w:rPr>
          <w:rFonts w:ascii="Times New Roman" w:hAnsi="Times New Roman" w:cs="Times New Roman"/>
          <w:sz w:val="24"/>
          <w:szCs w:val="24"/>
        </w:rPr>
        <w:tab/>
        <w:t xml:space="preserve">Whereas, In its initial report titled </w:t>
      </w:r>
      <w:r>
        <w:rPr>
          <w:rFonts w:ascii="Times New Roman" w:hAnsi="Times New Roman" w:cs="Times New Roman"/>
          <w:i/>
          <w:sz w:val="24"/>
          <w:szCs w:val="24"/>
        </w:rPr>
        <w:t xml:space="preserve">Disparities in Life Expectancy and Death in New York City, </w:t>
      </w:r>
      <w:r>
        <w:rPr>
          <w:rFonts w:ascii="Times New Roman" w:hAnsi="Times New Roman" w:cs="Times New Roman"/>
          <w:sz w:val="24"/>
          <w:szCs w:val="24"/>
        </w:rPr>
        <w:t xml:space="preserve">DOHMH found that while people living in poor neighborhoods have higher death rates than those living in wealthier neighborhoods, Black New Yorkers have the highest death rates </w:t>
      </w:r>
      <w:r w:rsidR="00BA54A5">
        <w:rPr>
          <w:rFonts w:ascii="Times New Roman" w:hAnsi="Times New Roman" w:cs="Times New Roman"/>
          <w:sz w:val="24"/>
          <w:szCs w:val="24"/>
        </w:rPr>
        <w:t>in every neighborhood irrespective</w:t>
      </w:r>
      <w:r>
        <w:rPr>
          <w:rFonts w:ascii="Times New Roman" w:hAnsi="Times New Roman" w:cs="Times New Roman"/>
          <w:sz w:val="24"/>
          <w:szCs w:val="24"/>
        </w:rPr>
        <w:t xml:space="preserve"> of the neighborhood’s economic makeup; and</w:t>
      </w:r>
    </w:p>
    <w:p w14:paraId="075828BF" w14:textId="77777777" w:rsidR="00C45FAE" w:rsidRDefault="00C45FAE" w:rsidP="003F173A">
      <w:pPr>
        <w:shd w:val="clear" w:color="auto" w:fill="FFFFFF"/>
        <w:spacing w:after="150" w:line="480" w:lineRule="auto"/>
        <w:contextualSpacing/>
        <w:jc w:val="both"/>
        <w:rPr>
          <w:rFonts w:ascii="Times New Roman" w:hAnsi="Times New Roman" w:cs="Times New Roman"/>
          <w:sz w:val="24"/>
          <w:szCs w:val="24"/>
        </w:rPr>
      </w:pPr>
      <w:r>
        <w:rPr>
          <w:rFonts w:ascii="Times New Roman" w:hAnsi="Times New Roman" w:cs="Times New Roman"/>
          <w:sz w:val="24"/>
          <w:szCs w:val="24"/>
        </w:rPr>
        <w:tab/>
        <w:t xml:space="preserve">Whereas, The report found that the difference in death rates between Black and white residents has remained relatively unchanged since 2003 and, furthermore, Black, Hispanic, and </w:t>
      </w:r>
      <w:r>
        <w:rPr>
          <w:rFonts w:ascii="Times New Roman" w:hAnsi="Times New Roman" w:cs="Times New Roman"/>
          <w:sz w:val="24"/>
          <w:szCs w:val="24"/>
        </w:rPr>
        <w:lastRenderedPageBreak/>
        <w:t xml:space="preserve">Asian New Yorkers are more likely to die prematurely than white New Yorkers, regardless of </w:t>
      </w:r>
      <w:r w:rsidR="00BA54A5">
        <w:rPr>
          <w:rFonts w:ascii="Times New Roman" w:hAnsi="Times New Roman" w:cs="Times New Roman"/>
          <w:sz w:val="24"/>
          <w:szCs w:val="24"/>
        </w:rPr>
        <w:t xml:space="preserve">overall </w:t>
      </w:r>
      <w:r>
        <w:rPr>
          <w:rFonts w:ascii="Times New Roman" w:hAnsi="Times New Roman" w:cs="Times New Roman"/>
          <w:sz w:val="24"/>
          <w:szCs w:val="24"/>
        </w:rPr>
        <w:t>neighborhood income; and</w:t>
      </w:r>
    </w:p>
    <w:p w14:paraId="075828C0" w14:textId="77777777" w:rsidR="00C45FAE" w:rsidRDefault="003F173A" w:rsidP="003F173A">
      <w:pPr>
        <w:shd w:val="clear" w:color="auto" w:fill="FFFFFF"/>
        <w:spacing w:after="150" w:line="480" w:lineRule="auto"/>
        <w:contextualSpacing/>
        <w:jc w:val="both"/>
        <w:rPr>
          <w:rFonts w:ascii="Times New Roman" w:hAnsi="Times New Roman" w:cs="Times New Roman"/>
          <w:sz w:val="24"/>
          <w:szCs w:val="24"/>
        </w:rPr>
      </w:pPr>
      <w:r>
        <w:rPr>
          <w:rFonts w:ascii="Times New Roman" w:hAnsi="Times New Roman" w:cs="Times New Roman"/>
          <w:sz w:val="24"/>
          <w:szCs w:val="24"/>
        </w:rPr>
        <w:tab/>
        <w:t xml:space="preserve">Whereas, </w:t>
      </w:r>
      <w:r w:rsidR="00BA54A5">
        <w:rPr>
          <w:rFonts w:ascii="Times New Roman" w:hAnsi="Times New Roman" w:cs="Times New Roman"/>
          <w:sz w:val="24"/>
          <w:szCs w:val="24"/>
        </w:rPr>
        <w:t>In 2021, t</w:t>
      </w:r>
      <w:r>
        <w:rPr>
          <w:rFonts w:ascii="Times New Roman" w:hAnsi="Times New Roman" w:cs="Times New Roman"/>
          <w:sz w:val="24"/>
          <w:szCs w:val="24"/>
        </w:rPr>
        <w:t>he New York City Board of Health passed a resolution recognizing the impact of racism on health during the COVID-19 pandemic and beyond; and</w:t>
      </w:r>
    </w:p>
    <w:p w14:paraId="075828C1" w14:textId="77777777" w:rsidR="00C45FAE" w:rsidRPr="003F173A" w:rsidRDefault="00C45FAE" w:rsidP="003F173A">
      <w:pPr>
        <w:shd w:val="clear" w:color="auto" w:fill="FFFFFF"/>
        <w:spacing w:after="150" w:line="480" w:lineRule="auto"/>
        <w:contextualSpacing/>
        <w:jc w:val="both"/>
        <w:rPr>
          <w:rFonts w:ascii="Times New Roman" w:hAnsi="Times New Roman" w:cs="Times New Roman"/>
          <w:sz w:val="24"/>
          <w:szCs w:val="24"/>
        </w:rPr>
      </w:pPr>
      <w:r>
        <w:rPr>
          <w:rFonts w:ascii="Times New Roman" w:hAnsi="Times New Roman" w:cs="Times New Roman"/>
          <w:sz w:val="24"/>
          <w:szCs w:val="24"/>
        </w:rPr>
        <w:tab/>
        <w:t>Whereas, The declaration of anti-Black racism as a public health issue at the state level could aid in efforts to promote health equity for Black New Yorkers, both at the state and local level, by increasing awareness and legitimizing anti-Black racism as a maj</w:t>
      </w:r>
      <w:r w:rsidR="00BA54A5">
        <w:rPr>
          <w:rFonts w:ascii="Times New Roman" w:hAnsi="Times New Roman" w:cs="Times New Roman"/>
          <w:sz w:val="24"/>
          <w:szCs w:val="24"/>
        </w:rPr>
        <w:t>or cause of health inequity; now, therefore,  be it</w:t>
      </w:r>
    </w:p>
    <w:p w14:paraId="075828C2" w14:textId="77777777" w:rsidR="00260036" w:rsidRPr="003E28B0" w:rsidRDefault="00260036" w:rsidP="007D7559">
      <w:pPr>
        <w:shd w:val="clear" w:color="auto" w:fill="FFFFFF"/>
        <w:spacing w:after="150" w:line="480" w:lineRule="auto"/>
        <w:ind w:firstLine="720"/>
        <w:contextualSpacing/>
        <w:jc w:val="both"/>
        <w:rPr>
          <w:rFonts w:ascii="Times New Roman" w:eastAsia="Times New Roman" w:hAnsi="Times New Roman" w:cs="Times New Roman"/>
          <w:sz w:val="24"/>
          <w:szCs w:val="24"/>
        </w:rPr>
      </w:pPr>
      <w:r w:rsidRPr="004C4815">
        <w:rPr>
          <w:rFonts w:ascii="Times New Roman" w:eastAsia="Times New Roman" w:hAnsi="Times New Roman" w:cs="Times New Roman"/>
          <w:sz w:val="24"/>
          <w:szCs w:val="24"/>
        </w:rPr>
        <w:t xml:space="preserve">Resolved, That the Council of the </w:t>
      </w:r>
      <w:r>
        <w:rPr>
          <w:rFonts w:ascii="Times New Roman" w:eastAsia="Times New Roman" w:hAnsi="Times New Roman" w:cs="Times New Roman"/>
          <w:sz w:val="24"/>
          <w:szCs w:val="24"/>
        </w:rPr>
        <w:t xml:space="preserve">City of New York calls upon the Governor to declare anti-Black </w:t>
      </w:r>
      <w:r w:rsidR="00761A88">
        <w:rPr>
          <w:rFonts w:ascii="Times New Roman" w:eastAsia="Times New Roman" w:hAnsi="Times New Roman" w:cs="Times New Roman"/>
          <w:sz w:val="24"/>
          <w:szCs w:val="24"/>
        </w:rPr>
        <w:t>racism a public health issue</w:t>
      </w:r>
      <w:r>
        <w:rPr>
          <w:rFonts w:ascii="Times New Roman" w:eastAsia="Times New Roman" w:hAnsi="Times New Roman" w:cs="Times New Roman"/>
          <w:sz w:val="24"/>
          <w:szCs w:val="24"/>
        </w:rPr>
        <w:t>.</w:t>
      </w:r>
    </w:p>
    <w:p w14:paraId="075828C3" w14:textId="77777777" w:rsidR="00D500E5" w:rsidRDefault="00D500E5" w:rsidP="00260036">
      <w:pPr>
        <w:spacing w:line="240" w:lineRule="auto"/>
        <w:contextualSpacing/>
        <w:rPr>
          <w:rFonts w:ascii="Times New Roman" w:hAnsi="Times New Roman" w:cs="Times New Roman"/>
          <w:sz w:val="20"/>
          <w:szCs w:val="20"/>
          <w:shd w:val="clear" w:color="auto" w:fill="FFFFFF"/>
        </w:rPr>
      </w:pPr>
    </w:p>
    <w:p w14:paraId="075828C8" w14:textId="77777777" w:rsidR="00260036" w:rsidRPr="005E1566" w:rsidRDefault="00260036" w:rsidP="00260036">
      <w:pPr>
        <w:spacing w:line="240" w:lineRule="auto"/>
        <w:contextualSpacing/>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WD</w:t>
      </w:r>
    </w:p>
    <w:p w14:paraId="075828CA" w14:textId="0C98465B" w:rsidR="00260036" w:rsidRDefault="00260036" w:rsidP="00260036">
      <w:pPr>
        <w:spacing w:line="240" w:lineRule="auto"/>
        <w:contextualSpacing/>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LS</w:t>
      </w:r>
      <w:r w:rsidR="00761A88">
        <w:rPr>
          <w:rFonts w:ascii="Times New Roman" w:hAnsi="Times New Roman" w:cs="Times New Roman"/>
          <w:sz w:val="20"/>
          <w:szCs w:val="20"/>
          <w:shd w:val="clear" w:color="auto" w:fill="FFFFFF"/>
        </w:rPr>
        <w:t xml:space="preserve"> </w:t>
      </w:r>
      <w:r w:rsidR="008370AC">
        <w:rPr>
          <w:rFonts w:ascii="Times New Roman" w:hAnsi="Times New Roman" w:cs="Times New Roman"/>
          <w:sz w:val="20"/>
          <w:szCs w:val="20"/>
          <w:shd w:val="clear" w:color="auto" w:fill="FFFFFF"/>
        </w:rPr>
        <w:t>#</w:t>
      </w:r>
      <w:r w:rsidR="00761A88">
        <w:rPr>
          <w:rFonts w:ascii="Times New Roman" w:hAnsi="Times New Roman" w:cs="Times New Roman"/>
          <w:sz w:val="20"/>
          <w:szCs w:val="20"/>
          <w:shd w:val="clear" w:color="auto" w:fill="FFFFFF"/>
        </w:rPr>
        <w:t>14362</w:t>
      </w:r>
    </w:p>
    <w:p w14:paraId="65A52E16" w14:textId="2BE39889" w:rsidR="008370AC" w:rsidRDefault="008370AC" w:rsidP="00260036">
      <w:pPr>
        <w:spacing w:line="240" w:lineRule="auto"/>
        <w:contextualSpacing/>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Res. #0126-2024</w:t>
      </w:r>
    </w:p>
    <w:p w14:paraId="5021A102" w14:textId="3077B424" w:rsidR="008370AC" w:rsidRPr="005E1566" w:rsidRDefault="008370AC" w:rsidP="00260036">
      <w:pPr>
        <w:spacing w:line="240" w:lineRule="auto"/>
        <w:contextualSpacing/>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12/31/2025 11:24 AM</w:t>
      </w:r>
    </w:p>
    <w:sectPr w:rsidR="008370AC" w:rsidRPr="005E1566">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C5A3C" w14:textId="77777777" w:rsidR="00B50679" w:rsidRDefault="00B50679" w:rsidP="003B0F36">
      <w:pPr>
        <w:spacing w:after="0" w:line="240" w:lineRule="auto"/>
      </w:pPr>
      <w:r>
        <w:separator/>
      </w:r>
    </w:p>
  </w:endnote>
  <w:endnote w:type="continuationSeparator" w:id="0">
    <w:p w14:paraId="66070E2D" w14:textId="77777777" w:rsidR="00B50679" w:rsidRDefault="00B50679" w:rsidP="003B0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8695443"/>
      <w:docPartObj>
        <w:docPartGallery w:val="Page Numbers (Bottom of Page)"/>
        <w:docPartUnique/>
      </w:docPartObj>
    </w:sdtPr>
    <w:sdtEndPr>
      <w:rPr>
        <w:noProof/>
      </w:rPr>
    </w:sdtEndPr>
    <w:sdtContent>
      <w:p w14:paraId="14E02C26" w14:textId="67EECE89" w:rsidR="003B0F36" w:rsidRDefault="003B0F3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302B518" w14:textId="77777777" w:rsidR="003B0F36" w:rsidRDefault="003B0F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3A2B5" w14:textId="77777777" w:rsidR="00B50679" w:rsidRDefault="00B50679" w:rsidP="003B0F36">
      <w:pPr>
        <w:spacing w:after="0" w:line="240" w:lineRule="auto"/>
      </w:pPr>
      <w:r>
        <w:separator/>
      </w:r>
    </w:p>
  </w:footnote>
  <w:footnote w:type="continuationSeparator" w:id="0">
    <w:p w14:paraId="08B5D50C" w14:textId="77777777" w:rsidR="00B50679" w:rsidRDefault="00B50679" w:rsidP="003B0F3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36"/>
    <w:rsid w:val="00031000"/>
    <w:rsid w:val="001740DD"/>
    <w:rsid w:val="001B0508"/>
    <w:rsid w:val="001C6824"/>
    <w:rsid w:val="001F31DA"/>
    <w:rsid w:val="00260036"/>
    <w:rsid w:val="002A1579"/>
    <w:rsid w:val="002C1D70"/>
    <w:rsid w:val="00350FDC"/>
    <w:rsid w:val="003B0F36"/>
    <w:rsid w:val="003F173A"/>
    <w:rsid w:val="004444CF"/>
    <w:rsid w:val="00490400"/>
    <w:rsid w:val="00546F66"/>
    <w:rsid w:val="0054729C"/>
    <w:rsid w:val="005B59AA"/>
    <w:rsid w:val="0060790D"/>
    <w:rsid w:val="00734E81"/>
    <w:rsid w:val="00761A88"/>
    <w:rsid w:val="00776E6C"/>
    <w:rsid w:val="007D7559"/>
    <w:rsid w:val="008370AC"/>
    <w:rsid w:val="009045A9"/>
    <w:rsid w:val="00955D0C"/>
    <w:rsid w:val="00A321E7"/>
    <w:rsid w:val="00AD2170"/>
    <w:rsid w:val="00B32F98"/>
    <w:rsid w:val="00B50679"/>
    <w:rsid w:val="00BA54A5"/>
    <w:rsid w:val="00BC4D7E"/>
    <w:rsid w:val="00BE7D2E"/>
    <w:rsid w:val="00C45FAE"/>
    <w:rsid w:val="00C81754"/>
    <w:rsid w:val="00D500E5"/>
    <w:rsid w:val="00EB6069"/>
    <w:rsid w:val="00FD5E9C"/>
    <w:rsid w:val="00FF1E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828A7"/>
  <w15:chartTrackingRefBased/>
  <w15:docId w15:val="{EDAD8854-9E61-4B9B-BA4D-4CBD4DA7D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00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60036"/>
    <w:rPr>
      <w:color w:val="0563C1" w:themeColor="hyperlink"/>
      <w:u w:val="single"/>
    </w:rPr>
  </w:style>
  <w:style w:type="paragraph" w:styleId="Header">
    <w:name w:val="header"/>
    <w:basedOn w:val="Normal"/>
    <w:link w:val="HeaderChar"/>
    <w:uiPriority w:val="99"/>
    <w:unhideWhenUsed/>
    <w:rsid w:val="003B0F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0F36"/>
  </w:style>
  <w:style w:type="paragraph" w:styleId="Footer">
    <w:name w:val="footer"/>
    <w:basedOn w:val="Normal"/>
    <w:link w:val="FooterChar"/>
    <w:uiPriority w:val="99"/>
    <w:unhideWhenUsed/>
    <w:rsid w:val="003B0F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0F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393363">
      <w:bodyDiv w:val="1"/>
      <w:marLeft w:val="0"/>
      <w:marRight w:val="0"/>
      <w:marTop w:val="0"/>
      <w:marBottom w:val="0"/>
      <w:divBdr>
        <w:top w:val="none" w:sz="0" w:space="0" w:color="auto"/>
        <w:left w:val="none" w:sz="0" w:space="0" w:color="auto"/>
        <w:bottom w:val="none" w:sz="0" w:space="0" w:color="auto"/>
        <w:right w:val="none" w:sz="0" w:space="0" w:color="auto"/>
      </w:divBdr>
    </w:div>
    <w:div w:id="1142576773">
      <w:bodyDiv w:val="1"/>
      <w:marLeft w:val="0"/>
      <w:marRight w:val="0"/>
      <w:marTop w:val="0"/>
      <w:marBottom w:val="0"/>
      <w:divBdr>
        <w:top w:val="none" w:sz="0" w:space="0" w:color="auto"/>
        <w:left w:val="none" w:sz="0" w:space="0" w:color="auto"/>
        <w:bottom w:val="none" w:sz="0" w:space="0" w:color="auto"/>
        <w:right w:val="none" w:sz="0" w:space="0" w:color="auto"/>
      </w:divBdr>
    </w:div>
    <w:div w:id="1972049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627</Words>
  <Characters>3578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Wiam Diouri</dc:creator>
  <cp:keywords/>
  <dc:description/>
  <cp:lastModifiedBy>Martin, William</cp:lastModifiedBy>
  <cp:revision>9</cp:revision>
  <dcterms:created xsi:type="dcterms:W3CDTF">2026-03-05T21:39:00Z</dcterms:created>
  <dcterms:modified xsi:type="dcterms:W3CDTF">2026-05-01T18:34:00Z</dcterms:modified>
</cp:coreProperties>
</file>