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1399" w14:textId="77777777" w:rsidR="00170B0F" w:rsidRDefault="008E677E">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6C00139A" w14:textId="77777777" w:rsidR="00170B0F" w:rsidRDefault="008E677E">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6C00139B" w14:textId="77777777" w:rsidR="00170B0F" w:rsidRDefault="008E677E">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6C00139C" w14:textId="77777777" w:rsidR="00170B0F" w:rsidRDefault="00170B0F">
      <w:pPr>
        <w:spacing w:line="240" w:lineRule="auto"/>
        <w:rPr>
          <w:rFonts w:ascii="Times New Roman" w:eastAsia="Times New Roman" w:hAnsi="Times New Roman" w:cs="Times New Roman"/>
          <w:i/>
          <w:iCs/>
          <w:sz w:val="24"/>
          <w:szCs w:val="24"/>
        </w:rPr>
      </w:pPr>
    </w:p>
    <w:p w14:paraId="6C00139D" w14:textId="77777777" w:rsidR="00170B0F" w:rsidRDefault="008E677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6C00139E" w14:textId="77777777" w:rsidR="00170B0F" w:rsidRDefault="008E67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0706-2024</w:t>
      </w:r>
    </w:p>
    <w:p w14:paraId="6C00139F" w14:textId="77777777" w:rsidR="00170B0F" w:rsidRDefault="00170B0F">
      <w:pPr>
        <w:spacing w:line="240" w:lineRule="auto"/>
        <w:rPr>
          <w:rFonts w:ascii="Times New Roman" w:eastAsia="Times New Roman" w:hAnsi="Times New Roman" w:cs="Times New Roman"/>
          <w:sz w:val="24"/>
          <w:szCs w:val="24"/>
        </w:rPr>
      </w:pPr>
    </w:p>
    <w:p w14:paraId="6C0013A0" w14:textId="77777777" w:rsidR="00170B0F" w:rsidRDefault="008E677E">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6C0013A1" w14:textId="77777777" w:rsidR="00170B0F" w:rsidRDefault="008E67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 Mercedes Narcisse, Jennifer Gutiérrez, Farah N. Louis, Lincoln Restler, Crystal Hudson, Alexa Avilés</w:t>
      </w:r>
    </w:p>
    <w:p w14:paraId="6C0013A2" w14:textId="77777777" w:rsidR="00170B0F" w:rsidRDefault="00170B0F">
      <w:pPr>
        <w:spacing w:line="240" w:lineRule="auto"/>
        <w:rPr>
          <w:rFonts w:ascii="Times New Roman" w:eastAsia="Times New Roman" w:hAnsi="Times New Roman" w:cs="Times New Roman"/>
          <w:sz w:val="24"/>
          <w:szCs w:val="24"/>
        </w:rPr>
      </w:pPr>
    </w:p>
    <w:p w14:paraId="6C0013A3" w14:textId="77777777" w:rsidR="00170B0F" w:rsidRDefault="008E677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6C0013A4" w14:textId="77777777" w:rsidR="00170B0F" w:rsidRDefault="008E677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social workers in city correctional facilities.</w:t>
      </w:r>
    </w:p>
    <w:p w14:paraId="6C0013A5" w14:textId="77777777" w:rsidR="00170B0F" w:rsidRDefault="00170B0F">
      <w:pPr>
        <w:spacing w:line="240" w:lineRule="auto"/>
        <w:jc w:val="both"/>
        <w:rPr>
          <w:rFonts w:ascii="Times New Roman" w:eastAsia="Times New Roman" w:hAnsi="Times New Roman" w:cs="Times New Roman"/>
          <w:sz w:val="24"/>
          <w:szCs w:val="24"/>
        </w:rPr>
      </w:pPr>
    </w:p>
    <w:p w14:paraId="6C0013A6" w14:textId="77777777" w:rsidR="00170B0F" w:rsidRDefault="008E677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6C0013A7" w14:textId="77777777" w:rsidR="00170B0F" w:rsidRDefault="008E67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6C0013A8" w14:textId="77777777" w:rsidR="00170B0F" w:rsidRDefault="00170B0F">
      <w:pPr>
        <w:spacing w:line="240" w:lineRule="auto"/>
        <w:rPr>
          <w:rFonts w:ascii="Times New Roman" w:eastAsia="Times New Roman" w:hAnsi="Times New Roman" w:cs="Times New Roman"/>
          <w:sz w:val="24"/>
          <w:szCs w:val="24"/>
        </w:rPr>
      </w:pPr>
    </w:p>
    <w:p w14:paraId="6C0013A9" w14:textId="77777777" w:rsidR="00170B0F" w:rsidRDefault="008E677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6C0013AA" w14:textId="77777777" w:rsidR="00170B0F" w:rsidRDefault="008E677E">
      <w:pPr>
        <w:rPr>
          <w:rFonts w:ascii="Times New Roman" w:eastAsia="Times New Roman" w:hAnsi="Times New Roman" w:cs="Times New Roman"/>
          <w:sz w:val="24"/>
          <w:szCs w:val="24"/>
        </w:rPr>
      </w:pPr>
      <w:r>
        <w:rPr>
          <w:rFonts w:ascii="Times New Roman" w:eastAsia="Times New Roman" w:hAnsi="Times New Roman" w:cs="Times New Roman"/>
          <w:sz w:val="24"/>
          <w:szCs w:val="24"/>
        </w:rPr>
        <w:t>Social work in jails and prisons plays a critical yet often underrecognized role in shaping safer communities and more effective support systems for those impacted by incarceration.</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Social workers provide a range of services, including trauma-informed care, rehabilitation counseling, and coordinating services ahead of reentry. Recently, one social worker who formerly worked on Rikers Island became a whistleblower, alerting the public to the illegal and inhumane practice of “deadlocking,” or locking people in mental health units in their cells indefinitely for no reason and allowing them to decompensate.</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Though this was a widespread practice, the only person to come forward and expose deadlocking was a social worker.</w:t>
      </w:r>
    </w:p>
    <w:p w14:paraId="6C0013AB" w14:textId="77777777" w:rsidR="00170B0F" w:rsidRDefault="008E677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This bill would require DOC to maintain a ratio of at least one social worker for every ten incarcerated persons at each city correctional facility, and to report the number of social workers and the number of incarcerated persons at each correctional facility on a quarterly basis. It is unclear, at the moment, exactly how many social workers are on staff or what the ratio of social workers to incarcerated people is. </w:t>
      </w:r>
    </w:p>
    <w:sectPr w:rsidR="00170B0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13AE" w14:textId="77777777" w:rsidR="002E2031" w:rsidRDefault="002E2031">
      <w:pPr>
        <w:spacing w:line="240" w:lineRule="auto"/>
      </w:pPr>
      <w:r>
        <w:separator/>
      </w:r>
    </w:p>
  </w:endnote>
  <w:endnote w:type="continuationSeparator" w:id="0">
    <w:p w14:paraId="6C0013AF" w14:textId="77777777" w:rsidR="002E2031" w:rsidRDefault="002E20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A28B281-3B3D-4154-9973-D758982E1D50}"/>
  </w:font>
  <w:font w:name="Cambria">
    <w:panose1 w:val="02040503050406030204"/>
    <w:charset w:val="00"/>
    <w:family w:val="roman"/>
    <w:pitch w:val="variable"/>
    <w:sig w:usb0="E00006FF" w:usb1="420024FF" w:usb2="02000000" w:usb3="00000000" w:csb0="0000019F" w:csb1="00000000"/>
    <w:embedRegular r:id="rId2" w:fontKey="{75D84D8F-063E-4D19-AAE8-C3F8D2A8A94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013AC" w14:textId="77777777" w:rsidR="002E2031" w:rsidRDefault="002E2031">
      <w:pPr>
        <w:spacing w:line="240" w:lineRule="auto"/>
      </w:pPr>
      <w:r>
        <w:separator/>
      </w:r>
    </w:p>
  </w:footnote>
  <w:footnote w:type="continuationSeparator" w:id="0">
    <w:p w14:paraId="6C0013AD" w14:textId="77777777" w:rsidR="002E2031" w:rsidRDefault="002E2031">
      <w:pPr>
        <w:spacing w:line="240" w:lineRule="auto"/>
      </w:pPr>
      <w:r>
        <w:continuationSeparator/>
      </w:r>
    </w:p>
  </w:footnote>
  <w:footnote w:id="1">
    <w:p w14:paraId="6C0013B0" w14:textId="77777777" w:rsidR="00170B0F" w:rsidRDefault="008E677E">
      <w:pPr>
        <w:spacing w:line="240" w:lineRule="auto"/>
        <w:rPr>
          <w:sz w:val="20"/>
          <w:szCs w:val="20"/>
        </w:rPr>
      </w:pPr>
      <w:r>
        <w:rPr>
          <w:vertAlign w:val="superscript"/>
        </w:rPr>
        <w:footnoteRef/>
      </w:r>
      <w:r>
        <w:rPr>
          <w:sz w:val="20"/>
          <w:szCs w:val="20"/>
        </w:rPr>
        <w:t xml:space="preserve"> </w:t>
      </w:r>
      <w:hyperlink r:id="rId1">
        <w:r w:rsidR="00170B0F">
          <w:rPr>
            <w:color w:val="1155CC"/>
            <w:sz w:val="20"/>
            <w:szCs w:val="20"/>
            <w:u w:val="single"/>
          </w:rPr>
          <w:t>https://www.indwes.edu/articles/2025/08/social-work-in-criminal-justice</w:t>
        </w:r>
      </w:hyperlink>
      <w:r>
        <w:rPr>
          <w:sz w:val="20"/>
          <w:szCs w:val="20"/>
        </w:rPr>
        <w:t xml:space="preserve"> </w:t>
      </w:r>
    </w:p>
  </w:footnote>
  <w:footnote w:id="2">
    <w:p w14:paraId="6C0013B1" w14:textId="77777777" w:rsidR="00170B0F" w:rsidRDefault="008E677E">
      <w:pPr>
        <w:spacing w:line="240" w:lineRule="auto"/>
        <w:rPr>
          <w:sz w:val="20"/>
          <w:szCs w:val="20"/>
        </w:rPr>
      </w:pPr>
      <w:r>
        <w:rPr>
          <w:vertAlign w:val="superscript"/>
        </w:rPr>
        <w:footnoteRef/>
      </w:r>
      <w:r>
        <w:rPr>
          <w:sz w:val="20"/>
          <w:szCs w:val="20"/>
        </w:rPr>
        <w:t xml:space="preserve"> </w:t>
      </w:r>
      <w:hyperlink r:id="rId2">
        <w:r w:rsidR="00170B0F">
          <w:rPr>
            <w:color w:val="1155CC"/>
            <w:sz w:val="20"/>
            <w:szCs w:val="20"/>
            <w:u w:val="single"/>
          </w:rPr>
          <w:t>https://www.themarshallproject.org/2025/06/27/rikers-whistleblower-deadlocking-mental-health-units</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B0F"/>
    <w:rsid w:val="00170B0F"/>
    <w:rsid w:val="0024656F"/>
    <w:rsid w:val="002E2031"/>
    <w:rsid w:val="008E677E"/>
    <w:rsid w:val="00B84828"/>
    <w:rsid w:val="00CA7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1399"/>
  <w15:docId w15:val="{13A1C087-7F93-4EE7-AABD-3A596485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themarshallproject.org/2025/06/27/rikers-whistleblower-deadlocking-mental-health-units" TargetMode="External"/><Relationship Id="rId1" Type="http://schemas.openxmlformats.org/officeDocument/2006/relationships/hyperlink" Target="https://www.indwes.edu/articles/2025/08/social-work-in-criminal-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2026-03-12T14:23:00Z</dcterms:created>
  <dcterms:modified xsi:type="dcterms:W3CDTF">2026-03-12T14:23:00Z</dcterms:modified>
</cp:coreProperties>
</file>