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D51EF" w14:textId="77777777" w:rsidR="00FF1ED5" w:rsidRDefault="00841EA0">
      <w:pPr>
        <w:pStyle w:val="Heading1"/>
        <w:spacing w:before="0" w:after="120" w:line="240" w:lineRule="auto"/>
        <w:rPr>
          <w:rFonts w:ascii="Georgia" w:eastAsia="Georgia" w:hAnsi="Georgia" w:cs="Georgia"/>
          <w:sz w:val="24"/>
          <w:szCs w:val="24"/>
        </w:rPr>
      </w:pPr>
      <w:r>
        <w:rPr>
          <w:rFonts w:ascii="Georgia" w:eastAsia="Georgia" w:hAnsi="Georgia" w:cs="Georgia"/>
          <w:sz w:val="24"/>
          <w:szCs w:val="24"/>
        </w:rPr>
        <w:t>New York City Council</w:t>
      </w:r>
    </w:p>
    <w:p w14:paraId="028D51F0" w14:textId="77777777" w:rsidR="00FF1ED5" w:rsidRDefault="00FF1ED5">
      <w:pPr>
        <w:pStyle w:val="Heading2"/>
        <w:spacing w:before="0" w:after="120" w:line="240" w:lineRule="auto"/>
        <w:rPr>
          <w:rFonts w:ascii="Georgia" w:eastAsia="Georgia" w:hAnsi="Georgia" w:cs="Georgia"/>
          <w:sz w:val="24"/>
          <w:szCs w:val="24"/>
        </w:rPr>
      </w:pPr>
    </w:p>
    <w:p w14:paraId="028D51F1" w14:textId="77777777" w:rsidR="00FF1ED5" w:rsidRDefault="00841EA0">
      <w:pPr>
        <w:pStyle w:val="Heading2"/>
        <w:spacing w:before="0" w:after="120" w:line="240" w:lineRule="auto"/>
        <w:rPr>
          <w:rFonts w:ascii="Georgia" w:eastAsia="Georgia" w:hAnsi="Georgia" w:cs="Georgia"/>
          <w:color w:val="007BB8"/>
          <w:sz w:val="24"/>
          <w:szCs w:val="24"/>
        </w:rPr>
      </w:pPr>
      <w:r>
        <w:rPr>
          <w:rFonts w:ascii="Georgia" w:eastAsia="Georgia" w:hAnsi="Georgia" w:cs="Georgia"/>
          <w:color w:val="007BB8"/>
          <w:sz w:val="24"/>
          <w:szCs w:val="24"/>
        </w:rPr>
        <w:t>Memorandum in Support of Legislation</w:t>
      </w:r>
    </w:p>
    <w:p w14:paraId="028D51F2" w14:textId="77777777" w:rsidR="00FF1ED5" w:rsidRDefault="00841EA0">
      <w:pPr>
        <w:spacing w:after="120" w:line="240" w:lineRule="auto"/>
        <w:rPr>
          <w:rFonts w:ascii="Georgia" w:eastAsia="Georgia" w:hAnsi="Georgia" w:cs="Georgia"/>
          <w:color w:val="007BB8"/>
          <w:sz w:val="24"/>
          <w:szCs w:val="24"/>
        </w:rPr>
      </w:pPr>
      <w:r>
        <w:rPr>
          <w:rFonts w:ascii="Georgia" w:eastAsia="Georgia" w:hAnsi="Georgia" w:cs="Georgia"/>
          <w:color w:val="007BB8"/>
          <w:sz w:val="24"/>
          <w:szCs w:val="24"/>
        </w:rPr>
        <w:t xml:space="preserve">This memorandum is authored by the sponsor and explains the need for the legislation referenced below, in accordance with Rule 6.00(d) of the Rules of the Council. </w:t>
      </w:r>
    </w:p>
    <w:p w14:paraId="028D51F3" w14:textId="77777777" w:rsidR="00FF1ED5" w:rsidRDefault="00FF1ED5">
      <w:pPr>
        <w:spacing w:after="120" w:line="240" w:lineRule="auto"/>
        <w:rPr>
          <w:rFonts w:ascii="Georgia" w:eastAsia="Georgia" w:hAnsi="Georgia" w:cs="Georgia"/>
          <w:sz w:val="24"/>
          <w:szCs w:val="24"/>
        </w:rPr>
      </w:pPr>
    </w:p>
    <w:p w14:paraId="028D51F4" w14:textId="77777777" w:rsidR="00FF1ED5" w:rsidRDefault="00841EA0">
      <w:pPr>
        <w:spacing w:after="120" w:line="240" w:lineRule="auto"/>
        <w:rPr>
          <w:rFonts w:ascii="Georgia" w:eastAsia="Georgia" w:hAnsi="Georgia" w:cs="Georgia"/>
          <w:b/>
          <w:bCs/>
          <w:sz w:val="24"/>
          <w:szCs w:val="24"/>
        </w:rPr>
      </w:pPr>
      <w:r>
        <w:rPr>
          <w:rFonts w:ascii="Georgia" w:eastAsia="Georgia" w:hAnsi="Georgia" w:cs="Georgia"/>
          <w:b/>
          <w:bCs/>
          <w:sz w:val="24"/>
          <w:szCs w:val="24"/>
          <w:u w:val="single"/>
        </w:rPr>
        <w:t>Legislative Service Number</w:t>
      </w:r>
      <w:r>
        <w:rPr>
          <w:rFonts w:ascii="Georgia" w:eastAsia="Georgia" w:hAnsi="Georgia" w:cs="Georgia"/>
          <w:b/>
          <w:bCs/>
          <w:sz w:val="24"/>
          <w:szCs w:val="24"/>
        </w:rPr>
        <w:t>:</w:t>
      </w:r>
    </w:p>
    <w:p w14:paraId="028D51F5" w14:textId="77777777" w:rsidR="00FF1ED5" w:rsidRDefault="00841EA0">
      <w:pPr>
        <w:numPr>
          <w:ilvl w:val="0"/>
          <w:numId w:val="1"/>
        </w:numPr>
        <w:pBdr>
          <w:top w:val="nil"/>
          <w:left w:val="nil"/>
          <w:bottom w:val="nil"/>
          <w:right w:val="nil"/>
          <w:between w:val="nil"/>
        </w:pBdr>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Int. 790-2024 | LS 2236-2024</w:t>
      </w:r>
    </w:p>
    <w:p w14:paraId="028D51F6" w14:textId="77777777" w:rsidR="00FF1ED5" w:rsidRDefault="00FF1ED5">
      <w:pPr>
        <w:pBdr>
          <w:top w:val="nil"/>
          <w:left w:val="nil"/>
          <w:bottom w:val="nil"/>
          <w:right w:val="nil"/>
          <w:between w:val="nil"/>
        </w:pBdr>
        <w:spacing w:after="120" w:line="240" w:lineRule="auto"/>
        <w:ind w:left="360" w:hanging="360"/>
        <w:rPr>
          <w:rFonts w:ascii="Georgia" w:eastAsia="Georgia" w:hAnsi="Georgia" w:cs="Georgia"/>
          <w:color w:val="000000"/>
          <w:sz w:val="24"/>
          <w:szCs w:val="24"/>
        </w:rPr>
      </w:pPr>
    </w:p>
    <w:p w14:paraId="028D51F7" w14:textId="77777777" w:rsidR="00FF1ED5" w:rsidRDefault="00841EA0">
      <w:pPr>
        <w:spacing w:after="120" w:line="240" w:lineRule="auto"/>
        <w:rPr>
          <w:rFonts w:ascii="Georgia" w:eastAsia="Georgia" w:hAnsi="Georgia" w:cs="Georgia"/>
          <w:b/>
          <w:bCs/>
          <w:sz w:val="24"/>
          <w:szCs w:val="24"/>
        </w:rPr>
      </w:pPr>
      <w:r>
        <w:rPr>
          <w:rFonts w:ascii="Georgia" w:eastAsia="Georgia" w:hAnsi="Georgia" w:cs="Georgia"/>
          <w:b/>
          <w:bCs/>
          <w:sz w:val="24"/>
          <w:szCs w:val="24"/>
          <w:u w:val="single"/>
        </w:rPr>
        <w:t>Prime Sponsor</w:t>
      </w:r>
      <w:r>
        <w:rPr>
          <w:rFonts w:ascii="Georgia" w:eastAsia="Georgia" w:hAnsi="Georgia" w:cs="Georgia"/>
          <w:b/>
          <w:bCs/>
          <w:sz w:val="24"/>
          <w:szCs w:val="24"/>
        </w:rPr>
        <w:t>:</w:t>
      </w:r>
    </w:p>
    <w:p w14:paraId="028D51F8" w14:textId="77777777" w:rsidR="00FF1ED5" w:rsidRDefault="00841EA0">
      <w:pPr>
        <w:numPr>
          <w:ilvl w:val="0"/>
          <w:numId w:val="1"/>
        </w:numPr>
        <w:pBdr>
          <w:top w:val="nil"/>
          <w:left w:val="nil"/>
          <w:bottom w:val="nil"/>
          <w:right w:val="nil"/>
          <w:between w:val="nil"/>
        </w:pBdr>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Public Advocate Jumaane D. Williams</w:t>
      </w:r>
    </w:p>
    <w:p w14:paraId="028D51F9" w14:textId="77777777" w:rsidR="00FF1ED5" w:rsidRDefault="00FF1ED5">
      <w:pPr>
        <w:pBdr>
          <w:top w:val="nil"/>
          <w:left w:val="nil"/>
          <w:bottom w:val="nil"/>
          <w:right w:val="nil"/>
          <w:between w:val="nil"/>
        </w:pBdr>
        <w:spacing w:after="120" w:line="240" w:lineRule="auto"/>
        <w:ind w:left="360" w:hanging="360"/>
        <w:rPr>
          <w:rFonts w:ascii="Georgia" w:eastAsia="Georgia" w:hAnsi="Georgia" w:cs="Georgia"/>
          <w:color w:val="000000"/>
          <w:sz w:val="24"/>
          <w:szCs w:val="24"/>
        </w:rPr>
      </w:pPr>
    </w:p>
    <w:p w14:paraId="028D51FA" w14:textId="77777777" w:rsidR="00FF1ED5" w:rsidRDefault="00841EA0">
      <w:pPr>
        <w:spacing w:after="120" w:line="240" w:lineRule="auto"/>
        <w:rPr>
          <w:rFonts w:ascii="Georgia" w:eastAsia="Georgia" w:hAnsi="Georgia" w:cs="Georgia"/>
          <w:b/>
          <w:bCs/>
          <w:sz w:val="24"/>
          <w:szCs w:val="24"/>
        </w:rPr>
      </w:pPr>
      <w:r>
        <w:rPr>
          <w:rFonts w:ascii="Georgia" w:eastAsia="Georgia" w:hAnsi="Georgia" w:cs="Georgia"/>
          <w:b/>
          <w:bCs/>
          <w:sz w:val="24"/>
          <w:szCs w:val="24"/>
          <w:u w:val="single"/>
        </w:rPr>
        <w:t>Bill Title</w:t>
      </w:r>
      <w:r>
        <w:rPr>
          <w:rFonts w:ascii="Georgia" w:eastAsia="Georgia" w:hAnsi="Georgia" w:cs="Georgia"/>
          <w:b/>
          <w:bCs/>
          <w:sz w:val="24"/>
          <w:szCs w:val="24"/>
        </w:rPr>
        <w:t>:</w:t>
      </w:r>
    </w:p>
    <w:p w14:paraId="028D51FB" w14:textId="77777777" w:rsidR="00FF1ED5" w:rsidRDefault="00841EA0">
      <w:pPr>
        <w:numPr>
          <w:ilvl w:val="0"/>
          <w:numId w:val="1"/>
        </w:numPr>
        <w:pBdr>
          <w:top w:val="nil"/>
          <w:left w:val="nil"/>
          <w:bottom w:val="nil"/>
          <w:right w:val="nil"/>
          <w:between w:val="nil"/>
        </w:pBdr>
        <w:spacing w:after="0"/>
        <w:rPr>
          <w:rFonts w:ascii="Georgia" w:eastAsia="Georgia" w:hAnsi="Georgia" w:cs="Georgia"/>
          <w:color w:val="000000"/>
          <w:sz w:val="24"/>
          <w:szCs w:val="24"/>
        </w:rPr>
      </w:pPr>
      <w:r>
        <w:rPr>
          <w:rFonts w:ascii="Georgia" w:eastAsia="Georgia" w:hAnsi="Georgia" w:cs="Georgia"/>
          <w:color w:val="000000"/>
          <w:sz w:val="24"/>
          <w:szCs w:val="24"/>
        </w:rPr>
        <w:t>A Local Law to amend the administrative code of the city of New York, in relation to the licensing of general contractors</w:t>
      </w:r>
    </w:p>
    <w:p w14:paraId="028D51FC" w14:textId="77777777" w:rsidR="00FF1ED5" w:rsidRDefault="00FF1ED5">
      <w:pPr>
        <w:pBdr>
          <w:top w:val="nil"/>
          <w:left w:val="nil"/>
          <w:bottom w:val="nil"/>
          <w:right w:val="nil"/>
          <w:between w:val="nil"/>
        </w:pBdr>
        <w:spacing w:after="120" w:line="240" w:lineRule="auto"/>
        <w:ind w:left="360" w:hanging="360"/>
        <w:rPr>
          <w:rFonts w:ascii="Georgia" w:eastAsia="Georgia" w:hAnsi="Georgia" w:cs="Georgia"/>
          <w:color w:val="000000"/>
          <w:sz w:val="24"/>
          <w:szCs w:val="24"/>
        </w:rPr>
      </w:pPr>
    </w:p>
    <w:p w14:paraId="028D51FD" w14:textId="77777777" w:rsidR="00FF1ED5" w:rsidRDefault="00841EA0">
      <w:pPr>
        <w:spacing w:after="120" w:line="240" w:lineRule="auto"/>
        <w:rPr>
          <w:rFonts w:ascii="Georgia" w:eastAsia="Georgia" w:hAnsi="Georgia" w:cs="Georgia"/>
          <w:b/>
          <w:bCs/>
          <w:sz w:val="24"/>
          <w:szCs w:val="24"/>
        </w:rPr>
      </w:pPr>
      <w:r>
        <w:rPr>
          <w:rFonts w:ascii="Georgia" w:eastAsia="Georgia" w:hAnsi="Georgia" w:cs="Georgia"/>
          <w:b/>
          <w:bCs/>
          <w:sz w:val="24"/>
          <w:szCs w:val="24"/>
          <w:u w:val="single"/>
        </w:rPr>
        <w:t>Submitted by</w:t>
      </w:r>
      <w:r>
        <w:rPr>
          <w:rFonts w:ascii="Georgia" w:eastAsia="Georgia" w:hAnsi="Georgia" w:cs="Georgia"/>
          <w:b/>
          <w:bCs/>
          <w:sz w:val="24"/>
          <w:szCs w:val="24"/>
        </w:rPr>
        <w:t>:</w:t>
      </w:r>
    </w:p>
    <w:p w14:paraId="028D51FE" w14:textId="77777777" w:rsidR="00FF1ED5" w:rsidRDefault="00841EA0">
      <w:pPr>
        <w:numPr>
          <w:ilvl w:val="0"/>
          <w:numId w:val="1"/>
        </w:numPr>
        <w:pBdr>
          <w:top w:val="nil"/>
          <w:left w:val="nil"/>
          <w:bottom w:val="nil"/>
          <w:right w:val="nil"/>
          <w:between w:val="nil"/>
        </w:pBdr>
        <w:spacing w:after="0" w:line="240" w:lineRule="auto"/>
        <w:rPr>
          <w:rFonts w:ascii="Georgia" w:eastAsia="Georgia" w:hAnsi="Georgia" w:cs="Georgia"/>
          <w:color w:val="000000"/>
          <w:sz w:val="24"/>
          <w:szCs w:val="24"/>
        </w:rPr>
      </w:pPr>
      <w:r>
        <w:rPr>
          <w:rFonts w:ascii="Georgia" w:eastAsia="Georgia" w:hAnsi="Georgia" w:cs="Georgia"/>
          <w:color w:val="000000"/>
          <w:sz w:val="24"/>
          <w:szCs w:val="24"/>
        </w:rPr>
        <w:t>Public Advocate Jumaane Williams</w:t>
      </w:r>
    </w:p>
    <w:p w14:paraId="028D51FF" w14:textId="77777777" w:rsidR="00FF1ED5" w:rsidRDefault="00FF1ED5">
      <w:pPr>
        <w:pBdr>
          <w:top w:val="nil"/>
          <w:left w:val="nil"/>
          <w:bottom w:val="nil"/>
          <w:right w:val="nil"/>
          <w:between w:val="nil"/>
        </w:pBdr>
        <w:spacing w:after="120" w:line="240" w:lineRule="auto"/>
        <w:ind w:left="360" w:hanging="360"/>
        <w:rPr>
          <w:rFonts w:ascii="Georgia" w:eastAsia="Georgia" w:hAnsi="Georgia" w:cs="Georgia"/>
          <w:color w:val="000000"/>
          <w:sz w:val="24"/>
          <w:szCs w:val="24"/>
        </w:rPr>
      </w:pPr>
    </w:p>
    <w:p w14:paraId="028D5200" w14:textId="77777777" w:rsidR="00FF1ED5" w:rsidRDefault="00841EA0">
      <w:pPr>
        <w:pStyle w:val="Heading3"/>
        <w:spacing w:before="0" w:after="120" w:line="240" w:lineRule="auto"/>
        <w:rPr>
          <w:rFonts w:ascii="Georgia" w:eastAsia="Georgia" w:hAnsi="Georgia" w:cs="Georgia"/>
          <w:sz w:val="24"/>
          <w:szCs w:val="24"/>
          <w:u w:val="single"/>
        </w:rPr>
      </w:pPr>
      <w:r>
        <w:rPr>
          <w:rFonts w:ascii="Georgia" w:eastAsia="Georgia" w:hAnsi="Georgia" w:cs="Georgia"/>
          <w:sz w:val="24"/>
          <w:szCs w:val="24"/>
          <w:u w:val="single"/>
        </w:rPr>
        <w:t>Justification</w:t>
      </w:r>
    </w:p>
    <w:p w14:paraId="028D5201" w14:textId="77777777" w:rsidR="00FF1ED5" w:rsidRDefault="00841EA0">
      <w:pPr>
        <w:spacing w:after="120" w:line="240" w:lineRule="auto"/>
        <w:rPr>
          <w:rFonts w:ascii="Georgia" w:eastAsia="Georgia" w:hAnsi="Georgia" w:cs="Georgia"/>
          <w:sz w:val="24"/>
          <w:szCs w:val="24"/>
        </w:rPr>
      </w:pPr>
      <w:r>
        <w:rPr>
          <w:rFonts w:ascii="Georgia" w:eastAsia="Georgia" w:hAnsi="Georgia" w:cs="Georgia"/>
          <w:sz w:val="24"/>
          <w:szCs w:val="24"/>
        </w:rPr>
        <w:t>The proposed legislation outlines the various types of licensed or limited licensed general contractor work, as well as the application and license processes including the initial, renewal, and additional fees associated with the contractor’s work.</w:t>
      </w:r>
    </w:p>
    <w:sectPr w:rsidR="00FF1ED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1488E7C-C761-4A24-98E2-7DF1E4712B2D}"/>
  </w:font>
  <w:font w:name="Cambria">
    <w:panose1 w:val="02040503050406030204"/>
    <w:charset w:val="00"/>
    <w:family w:val="roman"/>
    <w:pitch w:val="variable"/>
    <w:sig w:usb0="E00006FF" w:usb1="420024FF" w:usb2="02000000" w:usb3="00000000" w:csb0="0000019F" w:csb1="00000000"/>
    <w:embedRegular r:id="rId2" w:fontKey="{9841C25A-76F0-436C-9020-7DAD00E32602}"/>
    <w:embedBold r:id="rId3" w:fontKey="{C5A58A39-D7DD-4B9F-82D5-043B225488AD}"/>
    <w:embedItalic r:id="rId4" w:fontKey="{940EDCAF-999C-4568-B026-00953C6A8DF1}"/>
    <w:embedBoldItalic r:id="rId5" w:fontKey="{CF8D69CA-6C4E-4D61-98BE-37A59A605D90}"/>
  </w:font>
  <w:font w:name="Calibri">
    <w:panose1 w:val="020F0502020204030204"/>
    <w:charset w:val="00"/>
    <w:family w:val="swiss"/>
    <w:pitch w:val="variable"/>
    <w:sig w:usb0="E4002EFF" w:usb1="C200247B" w:usb2="00000009" w:usb3="00000000" w:csb0="000001FF" w:csb1="00000000"/>
    <w:embedRegular r:id="rId6" w:fontKey="{E0A4E8D3-9CDB-41DB-A909-777A1FB296BA}"/>
    <w:embedBold r:id="rId7" w:fontKey="{B09E57EE-5033-497D-AD25-3DEFDED41E7A}"/>
    <w:embedItalic r:id="rId8" w:fontKey="{3512437F-AC48-4DAD-8C28-03ACA79F8CEA}"/>
    <w:embedBoldItalic r:id="rId9" w:fontKey="{3A0B2D22-3A9D-4821-88A7-37E1019EB04F}"/>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0" w:fontKey="{12026707-BED7-44DA-B708-74AC3A3A8C69}"/>
    <w:embedBold r:id="rId11" w:fontKey="{617F483F-102D-416D-BF98-AAE1C8ABBBE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21F14"/>
    <w:multiLevelType w:val="multilevel"/>
    <w:tmpl w:val="0D5CD2B4"/>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DB32F73"/>
    <w:multiLevelType w:val="multilevel"/>
    <w:tmpl w:val="778CAFA0"/>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380397713">
    <w:abstractNumId w:val="1"/>
  </w:num>
  <w:num w:numId="2" w16cid:durableId="1596328952">
    <w:abstractNumId w:val="0"/>
  </w:num>
  <w:num w:numId="3" w16cid:durableId="16290450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3094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4010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4003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ED5"/>
    <w:rsid w:val="00453E25"/>
    <w:rsid w:val="006A52AA"/>
    <w:rsid w:val="00841EA0"/>
    <w:rsid w:val="008C6037"/>
    <w:rsid w:val="00FF1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D51EF"/>
  <w15:docId w15:val="{18E2539A-D6D1-4E37-B221-9D9A4631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1C5070"/>
    <w:rPr>
      <w:color w:val="0563C1"/>
      <w:u w:val="single"/>
    </w:r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CFHpv4/LYZ6T0vV+ZHyu3f452g==">CgMxLjA4AHIhMTZxeGFsb194M1E4NWdhVkFsQ2sxZk5oYXJmN3lfNkRZ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Delancey, Thaddea</cp:lastModifiedBy>
  <cp:revision>2</cp:revision>
  <dcterms:created xsi:type="dcterms:W3CDTF">2026-03-11T20:44:00Z</dcterms:created>
  <dcterms:modified xsi:type="dcterms:W3CDTF">2026-03-11T20:44:00Z</dcterms:modified>
</cp:coreProperties>
</file>