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64038" w14:textId="77777777" w:rsidR="003B76BF" w:rsidRPr="003B76BF" w:rsidRDefault="003B76BF" w:rsidP="003B76BF">
      <w:pPr>
        <w:spacing w:after="0" w:line="240" w:lineRule="auto"/>
        <w:jc w:val="right"/>
        <w:rPr>
          <w:rFonts w:cs="Times New Roman"/>
          <w:sz w:val="22"/>
          <w:u w:val="single"/>
        </w:rPr>
      </w:pPr>
      <w:r w:rsidRPr="003B76BF">
        <w:rPr>
          <w:rFonts w:cs="Times New Roman"/>
          <w:sz w:val="22"/>
          <w:u w:val="single"/>
        </w:rPr>
        <w:t>Public Housing Committee Staff</w:t>
      </w:r>
    </w:p>
    <w:p w14:paraId="7359E707" w14:textId="77777777" w:rsidR="003B76BF" w:rsidRPr="003B76BF" w:rsidRDefault="003B76BF" w:rsidP="003B76BF">
      <w:pPr>
        <w:spacing w:after="0" w:line="240" w:lineRule="auto"/>
        <w:jc w:val="right"/>
        <w:rPr>
          <w:rFonts w:cs="Times New Roman"/>
          <w:sz w:val="22"/>
        </w:rPr>
      </w:pPr>
      <w:r w:rsidRPr="003B76BF">
        <w:rPr>
          <w:rFonts w:cs="Times New Roman"/>
          <w:sz w:val="22"/>
        </w:rPr>
        <w:t xml:space="preserve">Jose Conde, </w:t>
      </w:r>
      <w:r w:rsidRPr="003B76BF">
        <w:rPr>
          <w:rFonts w:cs="Times New Roman"/>
          <w:i/>
          <w:sz w:val="22"/>
        </w:rPr>
        <w:t>Senior Policy Analyst</w:t>
      </w:r>
    </w:p>
    <w:p w14:paraId="5B00EC81" w14:textId="797CFE34" w:rsidR="003B76BF" w:rsidRDefault="00853BFA" w:rsidP="003B76BF">
      <w:pPr>
        <w:spacing w:after="0" w:line="240" w:lineRule="auto"/>
        <w:jc w:val="right"/>
        <w:rPr>
          <w:rFonts w:cs="Times New Roman"/>
          <w:i/>
          <w:iCs/>
          <w:sz w:val="22"/>
        </w:rPr>
      </w:pPr>
      <w:r>
        <w:rPr>
          <w:rFonts w:cs="Times New Roman"/>
          <w:sz w:val="22"/>
        </w:rPr>
        <w:t>Charles Kim</w:t>
      </w:r>
      <w:r w:rsidR="003B76BF" w:rsidRPr="003B76BF">
        <w:rPr>
          <w:rFonts w:cs="Times New Roman"/>
          <w:sz w:val="22"/>
        </w:rPr>
        <w:t xml:space="preserve">, </w:t>
      </w:r>
      <w:r w:rsidR="003B76BF" w:rsidRPr="003B76BF">
        <w:rPr>
          <w:rFonts w:cs="Times New Roman"/>
          <w:i/>
          <w:iCs/>
          <w:sz w:val="22"/>
        </w:rPr>
        <w:t>Policy Analyst</w:t>
      </w:r>
    </w:p>
    <w:p w14:paraId="4B30FA3D" w14:textId="12C96723" w:rsidR="002F5F48" w:rsidRPr="002F5F48" w:rsidRDefault="002F5F48" w:rsidP="002F5F48">
      <w:pPr>
        <w:spacing w:after="0" w:line="240" w:lineRule="auto"/>
        <w:jc w:val="right"/>
        <w:rPr>
          <w:rFonts w:cs="Times New Roman"/>
          <w:sz w:val="22"/>
        </w:rPr>
      </w:pPr>
      <w:r>
        <w:rPr>
          <w:rFonts w:cs="Times New Roman"/>
          <w:sz w:val="22"/>
        </w:rPr>
        <w:t>Sierra Townsend</w:t>
      </w:r>
      <w:r w:rsidRPr="003B76BF">
        <w:rPr>
          <w:rFonts w:cs="Times New Roman"/>
          <w:sz w:val="22"/>
        </w:rPr>
        <w:t xml:space="preserve">, </w:t>
      </w:r>
      <w:r w:rsidRPr="003B76BF">
        <w:rPr>
          <w:rFonts w:cs="Times New Roman"/>
          <w:i/>
          <w:iCs/>
          <w:sz w:val="22"/>
        </w:rPr>
        <w:t>Counsel</w:t>
      </w:r>
    </w:p>
    <w:p w14:paraId="4D7DFF88" w14:textId="1ADAFA90" w:rsidR="0035751F" w:rsidRPr="003B76BF" w:rsidRDefault="002F5F48" w:rsidP="003B76BF">
      <w:pPr>
        <w:spacing w:after="0" w:line="240" w:lineRule="auto"/>
        <w:jc w:val="right"/>
        <w:rPr>
          <w:rFonts w:cs="Times New Roman"/>
          <w:i/>
          <w:iCs/>
          <w:sz w:val="22"/>
        </w:rPr>
      </w:pPr>
      <w:r>
        <w:rPr>
          <w:rFonts w:cs="Times New Roman"/>
          <w:iCs/>
          <w:sz w:val="22"/>
        </w:rPr>
        <w:t>Spencer Kuhn</w:t>
      </w:r>
      <w:r w:rsidR="0035751F" w:rsidRPr="0035751F">
        <w:rPr>
          <w:rFonts w:cs="Times New Roman"/>
          <w:iCs/>
          <w:sz w:val="22"/>
        </w:rPr>
        <w:t>,</w:t>
      </w:r>
      <w:r w:rsidR="0035751F" w:rsidRPr="0035751F">
        <w:rPr>
          <w:rFonts w:cs="Times New Roman"/>
          <w:i/>
          <w:iCs/>
          <w:sz w:val="22"/>
        </w:rPr>
        <w:t xml:space="preserve"> Finance </w:t>
      </w:r>
      <w:r>
        <w:rPr>
          <w:rFonts w:cs="Times New Roman"/>
          <w:i/>
          <w:iCs/>
          <w:sz w:val="22"/>
        </w:rPr>
        <w:t>Analyst</w:t>
      </w:r>
    </w:p>
    <w:p w14:paraId="75C0E91B" w14:textId="77777777" w:rsidR="003B76BF" w:rsidRPr="003B76BF" w:rsidRDefault="00853BFA" w:rsidP="003B76BF">
      <w:pPr>
        <w:spacing w:after="0" w:line="240" w:lineRule="auto"/>
        <w:jc w:val="right"/>
        <w:rPr>
          <w:rFonts w:cs="Times New Roman"/>
          <w:sz w:val="22"/>
        </w:rPr>
      </w:pPr>
      <w:r>
        <w:rPr>
          <w:rFonts w:cs="Times New Roman"/>
          <w:iCs/>
          <w:sz w:val="22"/>
        </w:rPr>
        <w:t xml:space="preserve">Reese Hirota, </w:t>
      </w:r>
      <w:r w:rsidR="000F184D">
        <w:rPr>
          <w:rFonts w:cs="Times New Roman"/>
          <w:i/>
          <w:iCs/>
          <w:sz w:val="22"/>
        </w:rPr>
        <w:t xml:space="preserve">Senior </w:t>
      </w:r>
      <w:r w:rsidRPr="00853BFA">
        <w:rPr>
          <w:rFonts w:cs="Times New Roman"/>
          <w:i/>
          <w:iCs/>
          <w:sz w:val="22"/>
        </w:rPr>
        <w:t>Data Scientist</w:t>
      </w:r>
    </w:p>
    <w:p w14:paraId="04BBB5CF" w14:textId="297302DC" w:rsidR="003B76BF" w:rsidRDefault="002F5F48" w:rsidP="003B76BF">
      <w:pPr>
        <w:spacing w:after="0" w:line="240" w:lineRule="auto"/>
        <w:jc w:val="right"/>
        <w:rPr>
          <w:rFonts w:cs="Times New Roman"/>
          <w:i/>
          <w:sz w:val="22"/>
        </w:rPr>
      </w:pPr>
      <w:r>
        <w:rPr>
          <w:rFonts w:cs="Times New Roman"/>
          <w:sz w:val="22"/>
        </w:rPr>
        <w:t>Colby Porter</w:t>
      </w:r>
      <w:r w:rsidR="003B76BF" w:rsidRPr="003B76BF">
        <w:rPr>
          <w:rFonts w:cs="Times New Roman"/>
          <w:sz w:val="22"/>
        </w:rPr>
        <w:t xml:space="preserve">, </w:t>
      </w:r>
      <w:r w:rsidR="003B76BF" w:rsidRPr="003B76BF">
        <w:rPr>
          <w:rFonts w:cs="Times New Roman"/>
          <w:i/>
          <w:sz w:val="22"/>
        </w:rPr>
        <w:t>Data Scientist</w:t>
      </w:r>
    </w:p>
    <w:p w14:paraId="3C41811F" w14:textId="1F8731D5" w:rsidR="002F5F48" w:rsidRPr="002F5F48" w:rsidRDefault="002F5F48" w:rsidP="003B76BF">
      <w:pPr>
        <w:spacing w:after="0" w:line="240" w:lineRule="auto"/>
        <w:jc w:val="right"/>
        <w:rPr>
          <w:rFonts w:cs="Times New Roman"/>
          <w:i/>
          <w:sz w:val="22"/>
        </w:rPr>
      </w:pPr>
      <w:r>
        <w:rPr>
          <w:rFonts w:cs="Times New Roman"/>
          <w:sz w:val="22"/>
        </w:rPr>
        <w:t xml:space="preserve">Noah Slosberg, </w:t>
      </w:r>
      <w:r>
        <w:rPr>
          <w:rFonts w:cs="Times New Roman"/>
          <w:i/>
          <w:sz w:val="22"/>
        </w:rPr>
        <w:t>Data Scientist</w:t>
      </w:r>
    </w:p>
    <w:p w14:paraId="303A8990" w14:textId="77777777" w:rsidR="003B76BF" w:rsidRPr="003B76BF" w:rsidRDefault="003B76BF" w:rsidP="003B76BF">
      <w:pPr>
        <w:tabs>
          <w:tab w:val="left" w:pos="0"/>
        </w:tabs>
        <w:rPr>
          <w:rFonts w:cs="Times New Roman"/>
          <w:sz w:val="22"/>
          <w:highlight w:val="yellow"/>
          <w:u w:val="single"/>
        </w:rPr>
      </w:pPr>
    </w:p>
    <w:p w14:paraId="50BC181A" w14:textId="77777777" w:rsidR="003B76BF" w:rsidRPr="003B76BF" w:rsidRDefault="003B76BF" w:rsidP="003B76BF">
      <w:pPr>
        <w:tabs>
          <w:tab w:val="left" w:pos="0"/>
        </w:tabs>
        <w:rPr>
          <w:rFonts w:cs="Times New Roman"/>
          <w:sz w:val="22"/>
          <w:highlight w:val="yellow"/>
          <w:u w:val="single"/>
        </w:rPr>
      </w:pPr>
    </w:p>
    <w:p w14:paraId="5AF57F86" w14:textId="77777777" w:rsidR="003B76BF" w:rsidRPr="003B76BF" w:rsidRDefault="003B76BF" w:rsidP="003B76BF">
      <w:pPr>
        <w:tabs>
          <w:tab w:val="left" w:pos="0"/>
        </w:tabs>
        <w:rPr>
          <w:rFonts w:cs="Times New Roman"/>
          <w:i/>
          <w:sz w:val="22"/>
          <w:highlight w:val="yellow"/>
        </w:rPr>
      </w:pPr>
    </w:p>
    <w:p w14:paraId="172A2EF8" w14:textId="77777777" w:rsidR="003B76BF" w:rsidRPr="003B76BF" w:rsidRDefault="003B76BF" w:rsidP="003B76BF">
      <w:pPr>
        <w:tabs>
          <w:tab w:val="left" w:pos="0"/>
        </w:tabs>
        <w:rPr>
          <w:rFonts w:cs="Times New Roman"/>
          <w:sz w:val="22"/>
          <w:highlight w:val="yellow"/>
        </w:rPr>
      </w:pPr>
      <w:r w:rsidRPr="003B76BF">
        <w:rPr>
          <w:rFonts w:cs="Times New Roman"/>
          <w:noProof/>
          <w:sz w:val="22"/>
          <w:highlight w:val="yellow"/>
        </w:rPr>
        <w:drawing>
          <wp:anchor distT="0" distB="0" distL="114300" distR="114300" simplePos="0" relativeHeight="251658240" behindDoc="0" locked="0" layoutInCell="1" allowOverlap="1" wp14:anchorId="06D6EC18" wp14:editId="7E2C17A0">
            <wp:simplePos x="0" y="0"/>
            <wp:positionH relativeFrom="margin">
              <wp:align>center</wp:align>
            </wp:positionH>
            <wp:positionV relativeFrom="paragraph">
              <wp:posOffset>10160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48589A2A" w14:textId="77777777" w:rsidR="003B76BF" w:rsidRPr="003B76BF" w:rsidRDefault="003B76BF" w:rsidP="003B76BF">
      <w:pPr>
        <w:tabs>
          <w:tab w:val="left" w:pos="7517"/>
        </w:tabs>
        <w:spacing w:after="0"/>
        <w:jc w:val="center"/>
        <w:rPr>
          <w:rFonts w:cs="Times New Roman"/>
          <w:b/>
          <w:bCs/>
          <w:sz w:val="22"/>
          <w:highlight w:val="yellow"/>
        </w:rPr>
      </w:pPr>
      <w:r w:rsidRPr="003B76BF">
        <w:rPr>
          <w:rFonts w:cs="Times New Roman"/>
          <w:b/>
          <w:sz w:val="22"/>
          <w:highlight w:val="yellow"/>
        </w:rPr>
        <w:br w:type="textWrapping" w:clear="all"/>
      </w:r>
    </w:p>
    <w:p w14:paraId="0A1F0E55" w14:textId="77777777" w:rsidR="003B76BF" w:rsidRPr="003B76BF" w:rsidRDefault="003B76BF" w:rsidP="003B76BF">
      <w:pPr>
        <w:tabs>
          <w:tab w:val="left" w:pos="7517"/>
        </w:tabs>
        <w:spacing w:after="0"/>
        <w:jc w:val="center"/>
        <w:rPr>
          <w:rFonts w:cs="Times New Roman"/>
          <w:b/>
          <w:sz w:val="22"/>
        </w:rPr>
      </w:pPr>
      <w:r w:rsidRPr="003B76BF">
        <w:rPr>
          <w:rFonts w:cs="Times New Roman"/>
          <w:b/>
          <w:bCs/>
          <w:sz w:val="22"/>
        </w:rPr>
        <w:t>THE NEW YORK CITY COUNCIL</w:t>
      </w:r>
    </w:p>
    <w:p w14:paraId="64759AE2" w14:textId="77777777" w:rsidR="003B76BF" w:rsidRPr="003B76BF" w:rsidRDefault="003B76BF" w:rsidP="003B76BF">
      <w:pPr>
        <w:spacing w:after="0"/>
        <w:rPr>
          <w:rFonts w:cs="Times New Roman"/>
          <w:sz w:val="22"/>
        </w:rPr>
      </w:pPr>
    </w:p>
    <w:p w14:paraId="0EC3BF4C" w14:textId="77777777" w:rsidR="003B76BF" w:rsidRPr="003B76BF" w:rsidRDefault="003B76BF" w:rsidP="003B76BF">
      <w:pPr>
        <w:keepNext/>
        <w:spacing w:after="0" w:line="240" w:lineRule="auto"/>
        <w:jc w:val="center"/>
        <w:outlineLvl w:val="0"/>
        <w:rPr>
          <w:rFonts w:eastAsia="Times New Roman" w:cs="Times New Roman"/>
          <w:b/>
          <w:bCs/>
          <w:caps/>
          <w:szCs w:val="24"/>
          <w:u w:val="single"/>
        </w:rPr>
      </w:pPr>
      <w:r w:rsidRPr="003B76BF">
        <w:rPr>
          <w:rFonts w:eastAsia="Times New Roman" w:cs="Times New Roman"/>
          <w:b/>
          <w:bCs/>
          <w:caps/>
          <w:szCs w:val="24"/>
          <w:u w:val="single"/>
        </w:rPr>
        <w:t>BRIEFING PAPER OF THE INFRASTRUCTURE DIVISION</w:t>
      </w:r>
    </w:p>
    <w:p w14:paraId="068E8F5E" w14:textId="77777777" w:rsidR="003B76BF" w:rsidRPr="003B76BF" w:rsidRDefault="003B76BF" w:rsidP="003B76BF">
      <w:pPr>
        <w:spacing w:after="0"/>
        <w:jc w:val="center"/>
        <w:rPr>
          <w:rFonts w:cs="Times New Roman"/>
          <w:i/>
          <w:sz w:val="22"/>
        </w:rPr>
      </w:pPr>
      <w:r w:rsidRPr="003B76BF">
        <w:rPr>
          <w:rFonts w:cs="Times New Roman"/>
          <w:sz w:val="22"/>
        </w:rPr>
        <w:t>Andrea Vazquez,</w:t>
      </w:r>
      <w:r w:rsidRPr="003B76BF">
        <w:rPr>
          <w:rFonts w:cs="Times New Roman"/>
          <w:i/>
          <w:sz w:val="22"/>
        </w:rPr>
        <w:t xml:space="preserve"> Legislative Director </w:t>
      </w:r>
    </w:p>
    <w:p w14:paraId="261ECAF0" w14:textId="77777777" w:rsidR="003B76BF" w:rsidRPr="003B76BF" w:rsidRDefault="003B76BF" w:rsidP="003B76BF">
      <w:pPr>
        <w:spacing w:after="0"/>
        <w:jc w:val="center"/>
        <w:rPr>
          <w:rFonts w:cs="Times New Roman"/>
          <w:sz w:val="22"/>
        </w:rPr>
      </w:pPr>
      <w:r w:rsidRPr="003B76BF">
        <w:rPr>
          <w:rFonts w:cs="Times New Roman"/>
          <w:sz w:val="22"/>
        </w:rPr>
        <w:t xml:space="preserve">Bradley Reid, </w:t>
      </w:r>
      <w:r w:rsidRPr="003B76BF">
        <w:rPr>
          <w:rFonts w:cs="Times New Roman"/>
          <w:i/>
          <w:sz w:val="22"/>
        </w:rPr>
        <w:t>Deputy Director, Infrastructure</w:t>
      </w:r>
    </w:p>
    <w:p w14:paraId="065C1F19" w14:textId="77777777" w:rsidR="003B76BF" w:rsidRPr="003B76BF" w:rsidRDefault="003B76BF" w:rsidP="003B76BF">
      <w:pPr>
        <w:spacing w:after="0"/>
        <w:rPr>
          <w:rFonts w:cs="Times New Roman"/>
          <w:b/>
          <w:sz w:val="22"/>
          <w:u w:val="single"/>
        </w:rPr>
      </w:pPr>
    </w:p>
    <w:p w14:paraId="1721C79E" w14:textId="77777777" w:rsidR="003B76BF" w:rsidRPr="003B76BF" w:rsidRDefault="003B76BF" w:rsidP="003B76BF">
      <w:pPr>
        <w:spacing w:after="0"/>
        <w:jc w:val="center"/>
        <w:rPr>
          <w:rFonts w:cs="Times New Roman"/>
          <w:b/>
          <w:sz w:val="22"/>
          <w:u w:val="single"/>
        </w:rPr>
      </w:pPr>
      <w:r w:rsidRPr="003B76BF">
        <w:rPr>
          <w:rFonts w:cs="Times New Roman"/>
          <w:b/>
          <w:sz w:val="22"/>
          <w:u w:val="single"/>
        </w:rPr>
        <w:t xml:space="preserve">COMMITTEE ON PUBLIC HOUSING </w:t>
      </w:r>
    </w:p>
    <w:p w14:paraId="05F3C175" w14:textId="77777777" w:rsidR="003B76BF" w:rsidRPr="003B76BF" w:rsidRDefault="003B76BF" w:rsidP="00D53C4A">
      <w:pPr>
        <w:spacing w:after="0"/>
        <w:jc w:val="center"/>
        <w:rPr>
          <w:rFonts w:cs="Times New Roman"/>
          <w:i/>
          <w:sz w:val="22"/>
        </w:rPr>
      </w:pPr>
      <w:r w:rsidRPr="003B76BF">
        <w:rPr>
          <w:rFonts w:cs="Times New Roman"/>
          <w:sz w:val="22"/>
        </w:rPr>
        <w:t xml:space="preserve">Hon. </w:t>
      </w:r>
      <w:r w:rsidR="00C1779F">
        <w:rPr>
          <w:rFonts w:cs="Times New Roman"/>
          <w:sz w:val="22"/>
        </w:rPr>
        <w:t>Chris Banks</w:t>
      </w:r>
      <w:r w:rsidRPr="003B76BF">
        <w:rPr>
          <w:rFonts w:cs="Times New Roman"/>
          <w:sz w:val="22"/>
        </w:rPr>
        <w:t>,</w:t>
      </w:r>
      <w:r w:rsidRPr="003B76BF">
        <w:rPr>
          <w:rFonts w:cs="Times New Roman"/>
          <w:i/>
          <w:sz w:val="22"/>
        </w:rPr>
        <w:t xml:space="preserve"> Chair</w:t>
      </w:r>
    </w:p>
    <w:p w14:paraId="73515CCC" w14:textId="77777777" w:rsidR="003B76BF" w:rsidRPr="003B76BF" w:rsidRDefault="003B76BF" w:rsidP="003B76BF">
      <w:pPr>
        <w:suppressAutoHyphens/>
        <w:spacing w:after="0" w:line="240" w:lineRule="auto"/>
        <w:jc w:val="center"/>
        <w:rPr>
          <w:rFonts w:eastAsia="Calibri" w:cs="Times New Roman"/>
          <w:b/>
          <w:szCs w:val="24"/>
          <w:u w:val="single"/>
          <w:lang w:eastAsia="zh-CN"/>
        </w:rPr>
      </w:pPr>
    </w:p>
    <w:p w14:paraId="13620043" w14:textId="69A079AA" w:rsidR="003B76BF" w:rsidRPr="003B76BF" w:rsidRDefault="002F5F48" w:rsidP="003B76BF">
      <w:pPr>
        <w:spacing w:after="0"/>
        <w:jc w:val="center"/>
        <w:rPr>
          <w:rFonts w:cs="Times New Roman"/>
          <w:szCs w:val="24"/>
        </w:rPr>
      </w:pPr>
      <w:r>
        <w:rPr>
          <w:rFonts w:eastAsia="Times New Roman" w:cs="Times New Roman"/>
          <w:b/>
          <w:bCs/>
          <w:szCs w:val="24"/>
        </w:rPr>
        <w:t>April</w:t>
      </w:r>
      <w:r w:rsidR="00C1779F">
        <w:rPr>
          <w:rFonts w:eastAsia="Times New Roman" w:cs="Times New Roman"/>
          <w:b/>
          <w:bCs/>
          <w:szCs w:val="24"/>
        </w:rPr>
        <w:t xml:space="preserve"> </w:t>
      </w:r>
      <w:r w:rsidR="00366BDB">
        <w:rPr>
          <w:rFonts w:eastAsia="Times New Roman" w:cs="Times New Roman"/>
          <w:b/>
          <w:bCs/>
          <w:szCs w:val="24"/>
        </w:rPr>
        <w:t>10</w:t>
      </w:r>
      <w:r>
        <w:rPr>
          <w:rFonts w:eastAsia="Times New Roman" w:cs="Times New Roman"/>
          <w:b/>
          <w:bCs/>
          <w:szCs w:val="24"/>
        </w:rPr>
        <w:t>, 2026</w:t>
      </w:r>
    </w:p>
    <w:p w14:paraId="31B0D173" w14:textId="77777777" w:rsidR="003B76BF" w:rsidRPr="003B76BF" w:rsidRDefault="003B76BF" w:rsidP="003B76BF">
      <w:pPr>
        <w:widowControl w:val="0"/>
        <w:autoSpaceDE w:val="0"/>
        <w:autoSpaceDN w:val="0"/>
        <w:adjustRightInd w:val="0"/>
        <w:spacing w:after="0"/>
        <w:jc w:val="both"/>
        <w:rPr>
          <w:rFonts w:cs="Times New Roman"/>
          <w:b/>
          <w:sz w:val="22"/>
          <w:u w:val="single"/>
        </w:rPr>
      </w:pPr>
    </w:p>
    <w:p w14:paraId="6742918E" w14:textId="04CAC1C3" w:rsidR="000E7099" w:rsidRPr="00BC19FE" w:rsidRDefault="003B76BF" w:rsidP="00AC1255">
      <w:pPr>
        <w:shd w:val="clear" w:color="auto" w:fill="FFFFFF"/>
        <w:spacing w:after="0" w:line="240" w:lineRule="auto"/>
        <w:ind w:left="5040" w:hanging="5040"/>
        <w:contextualSpacing/>
        <w:jc w:val="center"/>
        <w:rPr>
          <w:rFonts w:eastAsia="Times New Roman" w:cs="Times New Roman"/>
          <w:szCs w:val="24"/>
        </w:rPr>
      </w:pPr>
      <w:r w:rsidRPr="003B76BF">
        <w:rPr>
          <w:rFonts w:eastAsia="Times New Roman" w:cs="Times New Roman"/>
          <w:b/>
          <w:szCs w:val="24"/>
          <w:u w:val="single"/>
        </w:rPr>
        <w:t xml:space="preserve">Oversight – </w:t>
      </w:r>
      <w:r w:rsidR="00AC1255">
        <w:rPr>
          <w:rFonts w:eastAsia="Times New Roman" w:cs="Times New Roman"/>
          <w:b/>
          <w:szCs w:val="24"/>
          <w:u w:val="single"/>
        </w:rPr>
        <w:t>Security Measures for NYCHA’s Vacant Apartments</w:t>
      </w:r>
      <w:r w:rsidR="000E7099" w:rsidRPr="00BC19FE">
        <w:rPr>
          <w:rFonts w:eastAsia="Times New Roman" w:cs="Times New Roman"/>
          <w:szCs w:val="24"/>
        </w:rPr>
        <w:t xml:space="preserve"> </w:t>
      </w:r>
    </w:p>
    <w:p w14:paraId="7FD6E6D9" w14:textId="77777777" w:rsidR="003B76BF" w:rsidRPr="003B76BF" w:rsidRDefault="003B76BF" w:rsidP="003B76BF">
      <w:pPr>
        <w:suppressAutoHyphens/>
        <w:spacing w:after="0" w:line="480" w:lineRule="auto"/>
        <w:jc w:val="both"/>
        <w:rPr>
          <w:rFonts w:eastAsia="Calibri" w:cs="Times New Roman"/>
          <w:b/>
          <w:iCs/>
          <w:color w:val="000000"/>
          <w:szCs w:val="24"/>
          <w:highlight w:val="yellow"/>
          <w:u w:val="single"/>
          <w:lang w:eastAsia="zh-CN"/>
        </w:rPr>
      </w:pPr>
    </w:p>
    <w:p w14:paraId="7263131B" w14:textId="77777777" w:rsidR="00AF7D86" w:rsidRPr="001E47A7" w:rsidRDefault="00AF7D86" w:rsidP="00AF7D86">
      <w:pPr>
        <w:pStyle w:val="ListParagraph"/>
        <w:numPr>
          <w:ilvl w:val="0"/>
          <w:numId w:val="9"/>
        </w:numPr>
        <w:spacing w:after="0" w:line="480" w:lineRule="auto"/>
        <w:jc w:val="both"/>
        <w:rPr>
          <w:rFonts w:ascii="Times New Roman" w:hAnsi="Times New Roman"/>
          <w:b/>
          <w:bCs/>
          <w:sz w:val="24"/>
          <w:szCs w:val="24"/>
        </w:rPr>
      </w:pPr>
      <w:r>
        <w:rPr>
          <w:rFonts w:ascii="Times New Roman" w:hAnsi="Times New Roman"/>
          <w:b/>
          <w:bCs/>
          <w:sz w:val="24"/>
          <w:szCs w:val="24"/>
        </w:rPr>
        <w:t>INTRODUCTION</w:t>
      </w:r>
    </w:p>
    <w:p w14:paraId="5DE0F1D0" w14:textId="4C6860F3" w:rsidR="003B76BF" w:rsidRPr="003B76BF" w:rsidRDefault="003B76BF" w:rsidP="2E63AD23">
      <w:pPr>
        <w:spacing w:after="200" w:line="480" w:lineRule="auto"/>
        <w:ind w:firstLine="720"/>
        <w:jc w:val="both"/>
        <w:rPr>
          <w:rFonts w:eastAsia="Calibri" w:cs="Times New Roman"/>
          <w:color w:val="000000" w:themeColor="text1"/>
          <w:lang w:eastAsia="zh-CN"/>
        </w:rPr>
      </w:pPr>
      <w:r w:rsidRPr="2E63AD23">
        <w:rPr>
          <w:rFonts w:eastAsia="Calibri" w:cs="Times New Roman"/>
          <w:color w:val="000000" w:themeColor="text1"/>
          <w:lang w:eastAsia="zh-CN"/>
        </w:rPr>
        <w:t xml:space="preserve">On </w:t>
      </w:r>
      <w:r w:rsidR="00AC1255" w:rsidRPr="2E63AD23">
        <w:rPr>
          <w:rFonts w:eastAsia="Calibri" w:cs="Times New Roman"/>
          <w:color w:val="000000" w:themeColor="text1"/>
          <w:lang w:eastAsia="zh-CN"/>
        </w:rPr>
        <w:t xml:space="preserve">April </w:t>
      </w:r>
      <w:r w:rsidR="00366BDB">
        <w:rPr>
          <w:rFonts w:eastAsia="Calibri" w:cs="Times New Roman"/>
          <w:color w:val="000000" w:themeColor="text1"/>
          <w:lang w:eastAsia="zh-CN"/>
        </w:rPr>
        <w:t>10</w:t>
      </w:r>
      <w:r w:rsidR="00AC1255" w:rsidRPr="2E63AD23">
        <w:rPr>
          <w:rFonts w:eastAsia="Calibri" w:cs="Times New Roman"/>
          <w:color w:val="000000" w:themeColor="text1"/>
          <w:lang w:eastAsia="zh-CN"/>
        </w:rPr>
        <w:t>,</w:t>
      </w:r>
      <w:r w:rsidR="008E01A4" w:rsidRPr="2E63AD23">
        <w:rPr>
          <w:rFonts w:eastAsia="Calibri" w:cs="Times New Roman"/>
          <w:color w:val="000000" w:themeColor="text1"/>
          <w:lang w:eastAsia="zh-CN"/>
        </w:rPr>
        <w:t xml:space="preserve"> </w:t>
      </w:r>
      <w:r w:rsidR="00AC1255" w:rsidRPr="2E63AD23">
        <w:rPr>
          <w:rFonts w:eastAsia="Calibri" w:cs="Times New Roman"/>
          <w:color w:val="000000" w:themeColor="text1"/>
          <w:lang w:eastAsia="zh-CN"/>
        </w:rPr>
        <w:t>2026</w:t>
      </w:r>
      <w:r w:rsidRPr="2E63AD23">
        <w:rPr>
          <w:rFonts w:eastAsia="Calibri" w:cs="Times New Roman"/>
          <w:color w:val="000000" w:themeColor="text1"/>
          <w:lang w:eastAsia="zh-CN"/>
        </w:rPr>
        <w:t xml:space="preserve">, the Committee on Public Housing, chaired by Council Member </w:t>
      </w:r>
      <w:r w:rsidR="00BD2F50" w:rsidRPr="2E63AD23">
        <w:rPr>
          <w:rFonts w:eastAsia="Calibri" w:cs="Times New Roman"/>
          <w:color w:val="000000" w:themeColor="text1"/>
          <w:lang w:eastAsia="zh-CN"/>
        </w:rPr>
        <w:t>Chris Banks</w:t>
      </w:r>
      <w:r w:rsidRPr="2E63AD23">
        <w:rPr>
          <w:rFonts w:eastAsia="Calibri" w:cs="Times New Roman"/>
          <w:color w:val="000000" w:themeColor="text1"/>
          <w:lang w:eastAsia="zh-CN"/>
        </w:rPr>
        <w:t xml:space="preserve">, will hold an oversight hearing entitled “Oversight – </w:t>
      </w:r>
      <w:r w:rsidR="00AC1255" w:rsidRPr="2E63AD23">
        <w:rPr>
          <w:rFonts w:eastAsia="Calibri" w:cs="Times New Roman"/>
          <w:color w:val="000000" w:themeColor="text1"/>
          <w:lang w:eastAsia="zh-CN"/>
        </w:rPr>
        <w:t>Security Measures for NYCHA’s Vacant Apartments</w:t>
      </w:r>
      <w:r w:rsidRPr="2E63AD23">
        <w:rPr>
          <w:rFonts w:eastAsia="Calibri" w:cs="Times New Roman"/>
          <w:color w:val="000000" w:themeColor="text1"/>
          <w:lang w:eastAsia="zh-CN"/>
        </w:rPr>
        <w:t>.” The Committee expects to hear testimony from officials of the New York City Housing Authority (“NYCHA”</w:t>
      </w:r>
      <w:r w:rsidR="00707EAB">
        <w:rPr>
          <w:rFonts w:eastAsia="Calibri" w:cs="Times New Roman"/>
          <w:color w:val="000000" w:themeColor="text1"/>
          <w:lang w:eastAsia="zh-CN"/>
        </w:rPr>
        <w:t xml:space="preserve"> or “Authority”</w:t>
      </w:r>
      <w:r w:rsidRPr="2E63AD23">
        <w:rPr>
          <w:rFonts w:eastAsia="Calibri" w:cs="Times New Roman"/>
          <w:color w:val="000000" w:themeColor="text1"/>
          <w:lang w:eastAsia="zh-CN"/>
        </w:rPr>
        <w:t>)</w:t>
      </w:r>
      <w:r w:rsidR="00563F53" w:rsidRPr="2E63AD23">
        <w:rPr>
          <w:rFonts w:eastAsia="Calibri" w:cs="Times New Roman"/>
          <w:color w:val="000000" w:themeColor="text1"/>
          <w:lang w:eastAsia="zh-CN"/>
        </w:rPr>
        <w:t xml:space="preserve"> related to</w:t>
      </w:r>
      <w:r w:rsidR="00705BA2" w:rsidRPr="2E63AD23">
        <w:rPr>
          <w:rFonts w:eastAsia="Calibri" w:cs="Times New Roman"/>
          <w:color w:val="000000" w:themeColor="text1"/>
          <w:lang w:eastAsia="zh-CN"/>
        </w:rPr>
        <w:t xml:space="preserve"> </w:t>
      </w:r>
      <w:r w:rsidR="00713370" w:rsidRPr="2E63AD23">
        <w:rPr>
          <w:rFonts w:eastAsia="Calibri" w:cs="Times New Roman"/>
          <w:color w:val="000000" w:themeColor="text1"/>
          <w:lang w:eastAsia="zh-CN"/>
        </w:rPr>
        <w:t xml:space="preserve">the procedures for securing vacant </w:t>
      </w:r>
      <w:r w:rsidR="009B6BE3" w:rsidRPr="2E63AD23">
        <w:rPr>
          <w:rFonts w:eastAsia="Calibri" w:cs="Times New Roman"/>
          <w:color w:val="000000" w:themeColor="text1"/>
          <w:lang w:eastAsia="zh-CN"/>
        </w:rPr>
        <w:t xml:space="preserve">apartments across NYCHA developments, including how often NYCHA </w:t>
      </w:r>
      <w:r w:rsidR="009C521B" w:rsidRPr="2E63AD23">
        <w:rPr>
          <w:rFonts w:eastAsia="Calibri" w:cs="Times New Roman"/>
          <w:color w:val="000000" w:themeColor="text1"/>
          <w:lang w:eastAsia="zh-CN"/>
        </w:rPr>
        <w:t>verifies</w:t>
      </w:r>
      <w:r w:rsidR="00A951FF" w:rsidRPr="2E63AD23">
        <w:rPr>
          <w:rFonts w:eastAsia="Calibri" w:cs="Times New Roman"/>
          <w:color w:val="000000" w:themeColor="text1"/>
          <w:lang w:eastAsia="zh-CN"/>
        </w:rPr>
        <w:t xml:space="preserve"> </w:t>
      </w:r>
      <w:r w:rsidR="006B0BF1">
        <w:rPr>
          <w:rFonts w:eastAsia="Calibri" w:cs="Times New Roman"/>
          <w:color w:val="000000" w:themeColor="text1"/>
          <w:lang w:eastAsia="zh-CN"/>
        </w:rPr>
        <w:t>its</w:t>
      </w:r>
      <w:r w:rsidR="008852BD" w:rsidRPr="2E63AD23">
        <w:rPr>
          <w:rFonts w:eastAsia="Calibri" w:cs="Times New Roman"/>
          <w:color w:val="000000" w:themeColor="text1"/>
          <w:lang w:eastAsia="zh-CN"/>
        </w:rPr>
        <w:t xml:space="preserve"> vacancies, </w:t>
      </w:r>
      <w:r w:rsidR="001E4487" w:rsidRPr="2E63AD23">
        <w:rPr>
          <w:rFonts w:eastAsia="Calibri" w:cs="Times New Roman"/>
          <w:color w:val="000000" w:themeColor="text1"/>
          <w:lang w:eastAsia="zh-CN"/>
        </w:rPr>
        <w:t xml:space="preserve">how </w:t>
      </w:r>
      <w:r w:rsidR="006B0BF1">
        <w:rPr>
          <w:rFonts w:eastAsia="Calibri" w:cs="Times New Roman"/>
          <w:color w:val="000000" w:themeColor="text1"/>
          <w:lang w:eastAsia="zh-CN"/>
        </w:rPr>
        <w:t>it</w:t>
      </w:r>
      <w:r w:rsidR="001E4487" w:rsidRPr="2E63AD23">
        <w:rPr>
          <w:rFonts w:eastAsia="Calibri" w:cs="Times New Roman"/>
          <w:color w:val="000000" w:themeColor="text1"/>
          <w:lang w:eastAsia="zh-CN"/>
        </w:rPr>
        <w:t xml:space="preserve"> presently </w:t>
      </w:r>
      <w:r w:rsidR="00F412D6" w:rsidRPr="2E63AD23">
        <w:rPr>
          <w:rFonts w:eastAsia="Calibri" w:cs="Times New Roman"/>
          <w:color w:val="000000" w:themeColor="text1"/>
          <w:lang w:eastAsia="zh-CN"/>
        </w:rPr>
        <w:t>safeguard</w:t>
      </w:r>
      <w:r w:rsidR="006B0BF1">
        <w:rPr>
          <w:rFonts w:eastAsia="Calibri" w:cs="Times New Roman"/>
          <w:color w:val="000000" w:themeColor="text1"/>
          <w:lang w:eastAsia="zh-CN"/>
        </w:rPr>
        <w:t>s</w:t>
      </w:r>
      <w:r w:rsidR="00F412D6" w:rsidRPr="2E63AD23">
        <w:rPr>
          <w:rFonts w:eastAsia="Calibri" w:cs="Times New Roman"/>
          <w:color w:val="000000" w:themeColor="text1"/>
          <w:lang w:eastAsia="zh-CN"/>
        </w:rPr>
        <w:t xml:space="preserve"> vacant </w:t>
      </w:r>
      <w:r w:rsidR="00CE598D" w:rsidRPr="2E63AD23">
        <w:rPr>
          <w:rFonts w:eastAsia="Calibri" w:cs="Times New Roman"/>
          <w:color w:val="000000" w:themeColor="text1"/>
          <w:lang w:eastAsia="zh-CN"/>
        </w:rPr>
        <w:t xml:space="preserve">units from </w:t>
      </w:r>
      <w:r w:rsidR="003125DD" w:rsidRPr="2E63AD23">
        <w:rPr>
          <w:rFonts w:eastAsia="Calibri" w:cs="Times New Roman"/>
          <w:color w:val="000000" w:themeColor="text1"/>
          <w:lang w:eastAsia="zh-CN"/>
        </w:rPr>
        <w:t xml:space="preserve">unauthorized occupancy, </w:t>
      </w:r>
      <w:r w:rsidR="008C425B" w:rsidRPr="2E63AD23">
        <w:rPr>
          <w:rFonts w:eastAsia="Calibri" w:cs="Times New Roman"/>
          <w:color w:val="000000" w:themeColor="text1"/>
          <w:lang w:eastAsia="zh-CN"/>
        </w:rPr>
        <w:t xml:space="preserve">and </w:t>
      </w:r>
      <w:r w:rsidR="004A6ADC" w:rsidRPr="2E63AD23">
        <w:rPr>
          <w:rFonts w:eastAsia="Calibri" w:cs="Times New Roman"/>
          <w:color w:val="000000" w:themeColor="text1"/>
          <w:lang w:eastAsia="zh-CN"/>
        </w:rPr>
        <w:t xml:space="preserve">how </w:t>
      </w:r>
      <w:r w:rsidR="006B0BF1">
        <w:rPr>
          <w:rFonts w:eastAsia="Calibri" w:cs="Times New Roman"/>
          <w:color w:val="000000" w:themeColor="text1"/>
          <w:lang w:eastAsia="zh-CN"/>
        </w:rPr>
        <w:t>it</w:t>
      </w:r>
      <w:r w:rsidR="004A6ADC" w:rsidRPr="2E63AD23">
        <w:rPr>
          <w:rFonts w:eastAsia="Calibri" w:cs="Times New Roman"/>
          <w:color w:val="000000" w:themeColor="text1"/>
          <w:lang w:eastAsia="zh-CN"/>
        </w:rPr>
        <w:t xml:space="preserve"> plan</w:t>
      </w:r>
      <w:r w:rsidR="006B0BF1">
        <w:rPr>
          <w:rFonts w:eastAsia="Calibri" w:cs="Times New Roman"/>
          <w:color w:val="000000" w:themeColor="text1"/>
          <w:lang w:eastAsia="zh-CN"/>
        </w:rPr>
        <w:t>s</w:t>
      </w:r>
      <w:r w:rsidR="004A6ADC" w:rsidRPr="2E63AD23">
        <w:rPr>
          <w:rFonts w:eastAsia="Calibri" w:cs="Times New Roman"/>
          <w:color w:val="000000" w:themeColor="text1"/>
          <w:lang w:eastAsia="zh-CN"/>
        </w:rPr>
        <w:t xml:space="preserve"> to </w:t>
      </w:r>
      <w:r w:rsidR="00FA0865" w:rsidRPr="2E63AD23">
        <w:rPr>
          <w:rFonts w:eastAsia="Calibri" w:cs="Times New Roman"/>
          <w:color w:val="000000" w:themeColor="text1"/>
          <w:lang w:eastAsia="zh-CN"/>
        </w:rPr>
        <w:lastRenderedPageBreak/>
        <w:t xml:space="preserve">improve vacant unit security </w:t>
      </w:r>
      <w:r w:rsidR="00A91EC6" w:rsidRPr="2E63AD23">
        <w:rPr>
          <w:rFonts w:eastAsia="Calibri" w:cs="Times New Roman"/>
          <w:color w:val="000000" w:themeColor="text1"/>
          <w:lang w:eastAsia="zh-CN"/>
        </w:rPr>
        <w:t xml:space="preserve">measures for the near and foreseeable future. </w:t>
      </w:r>
      <w:r w:rsidR="000909AB" w:rsidRPr="2E63AD23">
        <w:rPr>
          <w:rFonts w:eastAsia="Calibri" w:cs="Times New Roman"/>
          <w:color w:val="000000" w:themeColor="text1"/>
          <w:lang w:eastAsia="zh-CN"/>
        </w:rPr>
        <w:t xml:space="preserve">The Committee has also invited NYCHA tenants, resident associations, and advocacy groups to </w:t>
      </w:r>
      <w:r w:rsidR="2DAEB4AD" w:rsidRPr="2E63AD23">
        <w:rPr>
          <w:rFonts w:eastAsia="Calibri" w:cs="Times New Roman"/>
          <w:color w:val="000000" w:themeColor="text1"/>
          <w:lang w:eastAsia="zh-CN"/>
        </w:rPr>
        <w:t>provide</w:t>
      </w:r>
      <w:r w:rsidR="000909AB" w:rsidRPr="2E63AD23">
        <w:rPr>
          <w:rFonts w:eastAsia="Calibri" w:cs="Times New Roman"/>
          <w:color w:val="000000" w:themeColor="text1"/>
          <w:lang w:eastAsia="zh-CN"/>
        </w:rPr>
        <w:t xml:space="preserve"> testimony on</w:t>
      </w:r>
      <w:r w:rsidR="00D93F5D" w:rsidRPr="2E63AD23">
        <w:rPr>
          <w:rFonts w:eastAsia="Calibri" w:cs="Times New Roman"/>
          <w:color w:val="000000" w:themeColor="text1"/>
          <w:lang w:eastAsia="zh-CN"/>
        </w:rPr>
        <w:t xml:space="preserve"> their experiences with</w:t>
      </w:r>
      <w:r w:rsidR="00497259" w:rsidRPr="2E63AD23">
        <w:rPr>
          <w:rFonts w:eastAsia="Calibri" w:cs="Times New Roman"/>
          <w:color w:val="000000" w:themeColor="text1"/>
          <w:lang w:eastAsia="zh-CN"/>
        </w:rPr>
        <w:t xml:space="preserve"> unauthorized occupancies of NYCHA’s vacant units</w:t>
      </w:r>
      <w:r w:rsidR="00D376F6" w:rsidRPr="2E63AD23">
        <w:rPr>
          <w:rFonts w:eastAsia="Calibri" w:cs="Times New Roman"/>
          <w:color w:val="000000" w:themeColor="text1"/>
          <w:lang w:eastAsia="zh-CN"/>
        </w:rPr>
        <w:t xml:space="preserve"> and how</w:t>
      </w:r>
      <w:r w:rsidR="007B3C5A" w:rsidRPr="2E63AD23">
        <w:rPr>
          <w:rFonts w:eastAsia="Calibri" w:cs="Times New Roman"/>
          <w:color w:val="000000" w:themeColor="text1"/>
          <w:lang w:eastAsia="zh-CN"/>
        </w:rPr>
        <w:t xml:space="preserve"> they envision</w:t>
      </w:r>
      <w:r w:rsidR="00CF415B" w:rsidRPr="2E63AD23">
        <w:rPr>
          <w:rFonts w:eastAsia="Calibri" w:cs="Times New Roman"/>
          <w:color w:val="000000" w:themeColor="text1"/>
          <w:lang w:eastAsia="zh-CN"/>
        </w:rPr>
        <w:t xml:space="preserve"> </w:t>
      </w:r>
      <w:r w:rsidR="00D97D46" w:rsidRPr="2E63AD23">
        <w:rPr>
          <w:rFonts w:eastAsia="Calibri" w:cs="Times New Roman"/>
          <w:color w:val="000000" w:themeColor="text1"/>
          <w:lang w:eastAsia="zh-CN"/>
        </w:rPr>
        <w:t xml:space="preserve">an improved </w:t>
      </w:r>
      <w:r w:rsidR="00EC13C1" w:rsidRPr="2E63AD23">
        <w:rPr>
          <w:rFonts w:eastAsia="Calibri" w:cs="Times New Roman"/>
          <w:color w:val="000000" w:themeColor="text1"/>
          <w:lang w:eastAsia="zh-CN"/>
        </w:rPr>
        <w:t>pr</w:t>
      </w:r>
      <w:r w:rsidR="008D328A" w:rsidRPr="2E63AD23">
        <w:rPr>
          <w:rFonts w:eastAsia="Calibri" w:cs="Times New Roman"/>
          <w:color w:val="000000" w:themeColor="text1"/>
          <w:lang w:eastAsia="zh-CN"/>
        </w:rPr>
        <w:t xml:space="preserve">ocess </w:t>
      </w:r>
      <w:r w:rsidR="005E7890" w:rsidRPr="2E63AD23">
        <w:rPr>
          <w:rFonts w:eastAsia="Calibri" w:cs="Times New Roman"/>
          <w:color w:val="000000" w:themeColor="text1"/>
          <w:lang w:eastAsia="zh-CN"/>
        </w:rPr>
        <w:t>for securing NYCHA vacancies</w:t>
      </w:r>
      <w:r w:rsidR="009873F6" w:rsidRPr="2E63AD23">
        <w:rPr>
          <w:rFonts w:eastAsia="Calibri" w:cs="Times New Roman"/>
          <w:color w:val="000000" w:themeColor="text1"/>
          <w:lang w:eastAsia="zh-CN"/>
        </w:rPr>
        <w:t>.</w:t>
      </w:r>
      <w:r w:rsidRPr="2E63AD23">
        <w:rPr>
          <w:rFonts w:eastAsia="Calibri" w:cs="Times New Roman"/>
          <w:color w:val="000000" w:themeColor="text1"/>
          <w:lang w:eastAsia="zh-CN"/>
        </w:rPr>
        <w:t xml:space="preserve"> </w:t>
      </w:r>
    </w:p>
    <w:p w14:paraId="19A98DE9" w14:textId="77777777" w:rsidR="00EC1F47" w:rsidRPr="001E47A7" w:rsidRDefault="00EC1F47" w:rsidP="00EC1F47">
      <w:pPr>
        <w:pStyle w:val="ListParagraph"/>
        <w:numPr>
          <w:ilvl w:val="0"/>
          <w:numId w:val="9"/>
        </w:numPr>
        <w:spacing w:after="0" w:line="480" w:lineRule="auto"/>
        <w:jc w:val="both"/>
        <w:rPr>
          <w:rFonts w:ascii="Times New Roman" w:hAnsi="Times New Roman"/>
          <w:b/>
          <w:bCs/>
          <w:sz w:val="24"/>
          <w:szCs w:val="24"/>
        </w:rPr>
      </w:pPr>
      <w:r w:rsidRPr="71735DF3">
        <w:rPr>
          <w:rFonts w:ascii="Times New Roman" w:hAnsi="Times New Roman"/>
          <w:b/>
          <w:bCs/>
          <w:sz w:val="24"/>
          <w:szCs w:val="24"/>
        </w:rPr>
        <w:t>BACKGROUND</w:t>
      </w:r>
    </w:p>
    <w:p w14:paraId="18B5D2DA" w14:textId="77777777" w:rsidR="00EC1F47" w:rsidRPr="00E0723E" w:rsidRDefault="00EC1F47" w:rsidP="00EC1F47">
      <w:pPr>
        <w:pStyle w:val="ListParagraph"/>
        <w:numPr>
          <w:ilvl w:val="0"/>
          <w:numId w:val="10"/>
        </w:numPr>
        <w:spacing w:after="0" w:line="480" w:lineRule="auto"/>
        <w:jc w:val="both"/>
        <w:rPr>
          <w:rFonts w:ascii="Times New Roman" w:hAnsi="Times New Roman"/>
          <w:b/>
          <w:iCs/>
          <w:sz w:val="24"/>
        </w:rPr>
      </w:pPr>
      <w:r w:rsidRPr="00E0723E">
        <w:rPr>
          <w:rFonts w:ascii="Times New Roman" w:hAnsi="Times New Roman"/>
          <w:b/>
          <w:iCs/>
          <w:sz w:val="24"/>
        </w:rPr>
        <w:t xml:space="preserve">NYCHA Public Housing </w:t>
      </w:r>
    </w:p>
    <w:p w14:paraId="1266B94F" w14:textId="77777777" w:rsidR="00EC1F47" w:rsidRPr="00711918" w:rsidRDefault="00EC1F47" w:rsidP="001C178C">
      <w:pPr>
        <w:suppressAutoHyphens/>
        <w:spacing w:after="0" w:line="480" w:lineRule="auto"/>
        <w:ind w:firstLine="720"/>
        <w:contextualSpacing/>
        <w:jc w:val="both"/>
        <w:rPr>
          <w:rFonts w:eastAsia="Calibri" w:cs="Times New Roman"/>
          <w:szCs w:val="24"/>
          <w:lang w:eastAsia="zh-CN"/>
        </w:rPr>
      </w:pPr>
      <w:r w:rsidRPr="7D6C36B1">
        <w:rPr>
          <w:rFonts w:eastAsia="Calibri" w:cs="Times New Roman"/>
          <w:szCs w:val="24"/>
          <w:lang w:eastAsia="zh-CN"/>
        </w:rPr>
        <w:t xml:space="preserve">Former New York City (“NYC” or “City”) Mayor Fiorello La Guardia created NYCHA in 1934 </w:t>
      </w:r>
      <w:r w:rsidRPr="7D6C36B1">
        <w:rPr>
          <w:rFonts w:eastAsia="Times New Roman" w:cs="Times New Roman"/>
          <w:szCs w:val="24"/>
          <w:lang w:eastAsia="zh-CN"/>
        </w:rPr>
        <w:t>to replace dilapidated tenements using funds from The New Deal,</w:t>
      </w:r>
      <w:r w:rsidRPr="7D6C36B1">
        <w:rPr>
          <w:rFonts w:eastAsia="Times New Roman" w:cs="Times New Roman"/>
          <w:szCs w:val="24"/>
          <w:vertAlign w:val="superscript"/>
          <w:lang w:eastAsia="zh-CN"/>
        </w:rPr>
        <w:footnoteReference w:id="1"/>
      </w:r>
      <w:r w:rsidRPr="7D6C36B1">
        <w:rPr>
          <w:rFonts w:eastAsia="Times New Roman" w:cs="Times New Roman"/>
          <w:szCs w:val="24"/>
          <w:lang w:eastAsia="zh-CN"/>
        </w:rPr>
        <w:t xml:space="preserve"> three years before the Housing Act of 1937 established public housing nationwide.</w:t>
      </w:r>
      <w:r w:rsidRPr="7D6C36B1">
        <w:rPr>
          <w:rFonts w:eastAsia="Times New Roman" w:cs="Times New Roman"/>
          <w:szCs w:val="24"/>
          <w:vertAlign w:val="superscript"/>
          <w:lang w:eastAsia="zh-CN"/>
        </w:rPr>
        <w:footnoteReference w:id="2"/>
      </w:r>
      <w:r w:rsidRPr="7D6C36B1">
        <w:rPr>
          <w:rFonts w:eastAsia="Times New Roman" w:cs="Times New Roman"/>
          <w:szCs w:val="24"/>
          <w:lang w:eastAsia="zh-CN"/>
        </w:rPr>
        <w:t xml:space="preserve"> </w:t>
      </w:r>
      <w:r w:rsidRPr="7D6C36B1">
        <w:rPr>
          <w:rFonts w:eastAsia="Calibri" w:cs="Times New Roman"/>
          <w:szCs w:val="24"/>
          <w:lang w:eastAsia="zh-CN"/>
        </w:rPr>
        <w:t>NYCHA originally served two purposes: (1) to provide low-cost housing for middle-class, working families temporarily unemployed due to the Great Depression, and (2) to bolster the lagging economy by creating jobs for the building trades.</w:t>
      </w:r>
      <w:r w:rsidRPr="7D6C36B1">
        <w:rPr>
          <w:rFonts w:eastAsia="Calibri" w:cs="Times New Roman"/>
          <w:szCs w:val="24"/>
          <w:vertAlign w:val="superscript"/>
          <w:lang w:eastAsia="zh-CN"/>
        </w:rPr>
        <w:footnoteReference w:id="3"/>
      </w:r>
      <w:r w:rsidRPr="7D6C36B1">
        <w:rPr>
          <w:rFonts w:eastAsia="Calibri" w:cs="Times New Roman"/>
          <w:szCs w:val="24"/>
          <w:lang w:eastAsia="zh-CN"/>
        </w:rPr>
        <w:t xml:space="preserve"> Later, NYCHA’s purpose evolved into providing safe, decent housing for families with the lowest incomes.</w:t>
      </w:r>
      <w:r w:rsidRPr="7D6C36B1">
        <w:rPr>
          <w:rFonts w:eastAsia="Calibri" w:cs="Times New Roman"/>
          <w:szCs w:val="24"/>
          <w:vertAlign w:val="superscript"/>
          <w:lang w:eastAsia="zh-CN"/>
        </w:rPr>
        <w:footnoteReference w:id="4"/>
      </w:r>
    </w:p>
    <w:p w14:paraId="09DFC373" w14:textId="025A568C" w:rsidR="00EC1F47" w:rsidRPr="00711918" w:rsidRDefault="00EC1F47" w:rsidP="00EC1F47">
      <w:pPr>
        <w:suppressAutoHyphens/>
        <w:spacing w:after="0" w:line="480" w:lineRule="auto"/>
        <w:ind w:firstLine="720"/>
        <w:contextualSpacing/>
        <w:jc w:val="both"/>
        <w:rPr>
          <w:lang w:eastAsia="zh-CN"/>
        </w:rPr>
      </w:pPr>
      <w:r w:rsidRPr="71735DF3">
        <w:rPr>
          <w:rFonts w:eastAsia="Calibri" w:cs="Times New Roman"/>
          <w:szCs w:val="24"/>
          <w:lang w:eastAsia="zh-CN"/>
        </w:rPr>
        <w:t xml:space="preserve">As of </w:t>
      </w:r>
      <w:r w:rsidR="00130CD8">
        <w:rPr>
          <w:rFonts w:eastAsia="Calibri" w:cs="Times New Roman"/>
          <w:szCs w:val="24"/>
          <w:lang w:eastAsia="zh-CN"/>
        </w:rPr>
        <w:t>September</w:t>
      </w:r>
      <w:r w:rsidRPr="71735DF3">
        <w:rPr>
          <w:rFonts w:eastAsia="Calibri" w:cs="Times New Roman"/>
          <w:szCs w:val="24"/>
          <w:lang w:eastAsia="zh-CN"/>
        </w:rPr>
        <w:t xml:space="preserve"> 2025, NYCHA serves </w:t>
      </w:r>
      <w:r w:rsidR="00DA19F8">
        <w:rPr>
          <w:rFonts w:eastAsia="Calibri" w:cs="Times New Roman"/>
          <w:szCs w:val="24"/>
          <w:lang w:eastAsia="zh-CN"/>
        </w:rPr>
        <w:t>290,006</w:t>
      </w:r>
      <w:r w:rsidRPr="7D6C36B1">
        <w:rPr>
          <w:rFonts w:eastAsia="Calibri" w:cs="Times New Roman"/>
          <w:szCs w:val="24"/>
          <w:lang w:eastAsia="zh-CN"/>
        </w:rPr>
        <w:t xml:space="preserve"> authorized residents in </w:t>
      </w:r>
      <w:r w:rsidR="00DA19F8">
        <w:rPr>
          <w:rFonts w:eastAsia="Calibri" w:cs="Times New Roman"/>
          <w:szCs w:val="24"/>
          <w:lang w:eastAsia="zh-CN"/>
        </w:rPr>
        <w:t>150,380</w:t>
      </w:r>
      <w:r w:rsidRPr="7D6C36B1">
        <w:rPr>
          <w:rFonts w:eastAsia="Calibri" w:cs="Times New Roman"/>
          <w:szCs w:val="24"/>
          <w:lang w:eastAsia="zh-CN"/>
        </w:rPr>
        <w:t xml:space="preserve"> units across </w:t>
      </w:r>
      <w:r w:rsidR="00DA19F8">
        <w:rPr>
          <w:rFonts w:eastAsia="Calibri" w:cs="Times New Roman"/>
          <w:szCs w:val="24"/>
          <w:lang w:eastAsia="zh-CN"/>
        </w:rPr>
        <w:t>234</w:t>
      </w:r>
      <w:r w:rsidRPr="71735DF3">
        <w:rPr>
          <w:rFonts w:eastAsia="Calibri" w:cs="Times New Roman"/>
          <w:szCs w:val="24"/>
          <w:lang w:eastAsia="zh-CN"/>
        </w:rPr>
        <w:t xml:space="preserve"> developments in the conventional Section 9 public housing program (“Section 9”).</w:t>
      </w:r>
      <w:r w:rsidRPr="6D2766FD">
        <w:rPr>
          <w:rStyle w:val="FootnoteReference"/>
          <w:rFonts w:eastAsia="Calibri" w:cs="Times New Roman"/>
          <w:szCs w:val="24"/>
          <w:lang w:eastAsia="zh-CN"/>
        </w:rPr>
        <w:footnoteReference w:id="5"/>
      </w:r>
      <w:r w:rsidRPr="71735DF3">
        <w:rPr>
          <w:rFonts w:eastAsia="Calibri" w:cs="Times New Roman"/>
          <w:szCs w:val="24"/>
          <w:lang w:eastAsia="zh-CN"/>
        </w:rPr>
        <w:t xml:space="preserve"> The Authority serves another </w:t>
      </w:r>
      <w:r w:rsidR="00DA19F8">
        <w:rPr>
          <w:rFonts w:eastAsia="Calibri" w:cs="Times New Roman"/>
          <w:szCs w:val="24"/>
          <w:lang w:eastAsia="zh-CN"/>
        </w:rPr>
        <w:t>50,660</w:t>
      </w:r>
      <w:r w:rsidRPr="7D6C36B1">
        <w:rPr>
          <w:rFonts w:eastAsia="Calibri" w:cs="Times New Roman"/>
          <w:szCs w:val="24"/>
          <w:lang w:eastAsia="zh-CN"/>
        </w:rPr>
        <w:t xml:space="preserve"> authorized residents</w:t>
      </w:r>
      <w:r w:rsidRPr="71735DF3">
        <w:rPr>
          <w:rFonts w:eastAsia="Calibri" w:cs="Times New Roman"/>
          <w:szCs w:val="24"/>
          <w:lang w:eastAsia="zh-CN"/>
        </w:rPr>
        <w:t xml:space="preserve"> in </w:t>
      </w:r>
      <w:r w:rsidR="00DA19F8">
        <w:rPr>
          <w:rFonts w:eastAsia="Calibri" w:cs="Times New Roman"/>
          <w:szCs w:val="24"/>
          <w:lang w:eastAsia="zh-CN"/>
        </w:rPr>
        <w:t>27,185</w:t>
      </w:r>
      <w:r w:rsidRPr="7D6C36B1">
        <w:rPr>
          <w:rFonts w:eastAsia="Calibri" w:cs="Times New Roman"/>
          <w:szCs w:val="24"/>
          <w:lang w:eastAsia="zh-CN"/>
        </w:rPr>
        <w:t xml:space="preserve"> units across </w:t>
      </w:r>
      <w:r w:rsidR="00DA19F8">
        <w:rPr>
          <w:rFonts w:eastAsia="Calibri" w:cs="Times New Roman"/>
          <w:szCs w:val="24"/>
          <w:lang w:eastAsia="zh-CN"/>
        </w:rPr>
        <w:t>101</w:t>
      </w:r>
      <w:r w:rsidRPr="71735DF3">
        <w:rPr>
          <w:rFonts w:eastAsia="Calibri" w:cs="Times New Roman"/>
          <w:szCs w:val="24"/>
          <w:lang w:eastAsia="zh-CN"/>
        </w:rPr>
        <w:t xml:space="preserve"> developments that have been converted to the Permanent Affordability Commitment Together (“PACT”) </w:t>
      </w:r>
      <w:r w:rsidRPr="71735DF3">
        <w:rPr>
          <w:rFonts w:eastAsia="Calibri" w:cs="Times New Roman"/>
          <w:szCs w:val="24"/>
          <w:lang w:eastAsia="zh-CN"/>
        </w:rPr>
        <w:lastRenderedPageBreak/>
        <w:t>program, NYCHA’s implementation of the federal Rental Assistance Demonstration (“RAD”) program.</w:t>
      </w:r>
      <w:r w:rsidRPr="6D2766FD">
        <w:rPr>
          <w:rStyle w:val="FootnoteReference"/>
          <w:rFonts w:eastAsia="Calibri" w:cs="Times New Roman"/>
          <w:szCs w:val="24"/>
          <w:lang w:eastAsia="zh-CN"/>
        </w:rPr>
        <w:footnoteReference w:id="6"/>
      </w:r>
      <w:r w:rsidRPr="71735DF3">
        <w:rPr>
          <w:rFonts w:eastAsia="Calibri" w:cs="Times New Roman"/>
          <w:szCs w:val="24"/>
          <w:lang w:eastAsia="zh-CN"/>
        </w:rPr>
        <w:t xml:space="preserve"> Through the Section 8 voucher program created by the United States Housing and Community Development Act of 1978 (“Section 8”), NYCHA serves an additional </w:t>
      </w:r>
      <w:r w:rsidR="00DA19F8">
        <w:rPr>
          <w:rFonts w:eastAsia="Calibri" w:cs="Times New Roman"/>
          <w:szCs w:val="24"/>
          <w:lang w:eastAsia="zh-CN"/>
        </w:rPr>
        <w:t>111,330</w:t>
      </w:r>
      <w:r w:rsidRPr="71735DF3">
        <w:rPr>
          <w:rFonts w:eastAsia="Calibri" w:cs="Times New Roman"/>
          <w:szCs w:val="24"/>
          <w:lang w:eastAsia="zh-CN"/>
        </w:rPr>
        <w:t xml:space="preserve"> families in renting units in the private market.</w:t>
      </w:r>
      <w:r w:rsidRPr="71735DF3">
        <w:rPr>
          <w:rStyle w:val="FootnoteReference"/>
          <w:rFonts w:eastAsia="Calibri" w:cs="Times New Roman"/>
          <w:szCs w:val="24"/>
          <w:lang w:eastAsia="zh-CN"/>
        </w:rPr>
        <w:footnoteReference w:id="7"/>
      </w:r>
    </w:p>
    <w:p w14:paraId="186C3087" w14:textId="1676766E" w:rsidR="001D316E" w:rsidRPr="008E66E1" w:rsidRDefault="14EAC58D" w:rsidP="008E66E1">
      <w:pPr>
        <w:spacing w:after="0" w:line="480" w:lineRule="auto"/>
        <w:ind w:firstLine="720"/>
        <w:jc w:val="both"/>
        <w:rPr>
          <w:rFonts w:eastAsia="Calibri" w:cs="Times New Roman"/>
          <w:lang w:eastAsia="zh-CN"/>
        </w:rPr>
      </w:pPr>
      <w:r w:rsidRPr="1BE0CC58">
        <w:rPr>
          <w:rFonts w:eastAsia="Calibri" w:cs="Times New Roman"/>
          <w:lang w:eastAsia="zh-CN"/>
        </w:rPr>
        <w:t xml:space="preserve">Starting in late 2023 with Nostrand Houses in Brooklyn, some NYCHA developments have been voting on whether to remain in Section 9, move to the PACT program, or join the </w:t>
      </w:r>
      <w:bookmarkStart w:id="0" w:name="_Int_dxYPUDG7"/>
      <w:r w:rsidRPr="1BE0CC58">
        <w:rPr>
          <w:rFonts w:eastAsia="Calibri" w:cs="Times New Roman"/>
          <w:lang w:eastAsia="zh-CN"/>
        </w:rPr>
        <w:t>newly created</w:t>
      </w:r>
      <w:bookmarkEnd w:id="0"/>
      <w:r w:rsidRPr="1BE0CC58">
        <w:rPr>
          <w:rFonts w:eastAsia="Calibri" w:cs="Times New Roman"/>
          <w:lang w:eastAsia="zh-CN"/>
        </w:rPr>
        <w:t xml:space="preserve"> Public Housing Preservation Trust (“Trust”).</w:t>
      </w:r>
      <w:r w:rsidR="00EC1F47" w:rsidRPr="1BE0CC58">
        <w:rPr>
          <w:rStyle w:val="FootnoteReference"/>
          <w:rFonts w:eastAsia="Calibri" w:cs="Times New Roman"/>
          <w:lang w:eastAsia="zh-CN"/>
        </w:rPr>
        <w:footnoteReference w:id="8"/>
      </w:r>
      <w:r w:rsidRPr="1BE0CC58">
        <w:rPr>
          <w:rFonts w:eastAsia="Calibri" w:cs="Times New Roman"/>
          <w:lang w:eastAsia="zh-CN"/>
        </w:rPr>
        <w:t xml:space="preserve"> Under the Trust, developments would remain under NYCHA management while transitioning to project-based Section </w:t>
      </w:r>
      <w:bookmarkStart w:id="1" w:name="_Int_3AH4PXBz"/>
      <w:r w:rsidRPr="1BE0CC58">
        <w:rPr>
          <w:rFonts w:eastAsia="Calibri" w:cs="Times New Roman"/>
          <w:lang w:eastAsia="zh-CN"/>
        </w:rPr>
        <w:t>8 funding</w:t>
      </w:r>
      <w:bookmarkEnd w:id="1"/>
      <w:r w:rsidRPr="1BE0CC58">
        <w:rPr>
          <w:rFonts w:eastAsia="Calibri" w:cs="Times New Roman"/>
          <w:lang w:eastAsia="zh-CN"/>
        </w:rPr>
        <w:t>.</w:t>
      </w:r>
      <w:r w:rsidR="00EC1F47" w:rsidRPr="1BE0CC58">
        <w:rPr>
          <w:rStyle w:val="FootnoteReference"/>
          <w:rFonts w:eastAsia="Calibri" w:cs="Times New Roman"/>
          <w:lang w:eastAsia="zh-CN"/>
        </w:rPr>
        <w:footnoteReference w:id="9"/>
      </w:r>
      <w:r w:rsidRPr="1BE0CC58">
        <w:rPr>
          <w:rFonts w:eastAsia="Calibri" w:cs="Times New Roman"/>
          <w:lang w:eastAsia="zh-CN"/>
        </w:rPr>
        <w:t xml:space="preserve"> </w:t>
      </w:r>
      <w:r w:rsidR="6EBF049E" w:rsidRPr="1BE0CC58">
        <w:rPr>
          <w:rFonts w:eastAsia="Calibri" w:cs="Times New Roman"/>
          <w:lang w:eastAsia="zh-CN"/>
        </w:rPr>
        <w:t xml:space="preserve">As of </w:t>
      </w:r>
      <w:r w:rsidR="00AD6E55">
        <w:rPr>
          <w:rFonts w:eastAsia="Calibri" w:cs="Times New Roman"/>
          <w:lang w:eastAsia="zh-CN"/>
        </w:rPr>
        <w:t>March</w:t>
      </w:r>
      <w:r w:rsidR="00DA19F8">
        <w:rPr>
          <w:rFonts w:eastAsia="Calibri" w:cs="Times New Roman"/>
          <w:lang w:eastAsia="zh-CN"/>
        </w:rPr>
        <w:t xml:space="preserve"> 2026</w:t>
      </w:r>
      <w:r w:rsidRPr="1BE0CC58">
        <w:rPr>
          <w:rFonts w:eastAsia="Calibri" w:cs="Times New Roman"/>
          <w:lang w:eastAsia="zh-CN"/>
        </w:rPr>
        <w:t xml:space="preserve">, </w:t>
      </w:r>
      <w:r w:rsidR="00707EAB">
        <w:rPr>
          <w:rFonts w:eastAsia="Calibri" w:cs="Times New Roman"/>
          <w:lang w:eastAsia="zh-CN"/>
        </w:rPr>
        <w:t xml:space="preserve">of the developments that have held such a vote, </w:t>
      </w:r>
      <w:r w:rsidR="316AE31D" w:rsidRPr="1BE0CC58">
        <w:rPr>
          <w:rFonts w:eastAsia="Calibri" w:cs="Times New Roman"/>
          <w:lang w:eastAsia="zh-CN"/>
        </w:rPr>
        <w:t>four</w:t>
      </w:r>
      <w:r w:rsidRPr="1BE0CC58">
        <w:rPr>
          <w:rFonts w:eastAsia="Calibri" w:cs="Times New Roman"/>
          <w:lang w:eastAsia="zh-CN"/>
        </w:rPr>
        <w:t xml:space="preserve"> developments—Nostrand Houses,</w:t>
      </w:r>
      <w:r w:rsidR="00EC1F47" w:rsidRPr="1BE0CC58">
        <w:rPr>
          <w:rStyle w:val="FootnoteReference"/>
          <w:rFonts w:eastAsia="Calibri" w:cs="Times New Roman"/>
          <w:lang w:eastAsia="zh-CN"/>
        </w:rPr>
        <w:footnoteReference w:id="10"/>
      </w:r>
      <w:r w:rsidRPr="1BE0CC58">
        <w:rPr>
          <w:rFonts w:eastAsia="Calibri" w:cs="Times New Roman"/>
          <w:lang w:eastAsia="zh-CN"/>
        </w:rPr>
        <w:t xml:space="preserve"> Bronx River Addition,</w:t>
      </w:r>
      <w:r w:rsidR="00EC1F47" w:rsidRPr="1BE0CC58">
        <w:rPr>
          <w:rStyle w:val="FootnoteReference"/>
          <w:rFonts w:eastAsia="Calibri" w:cs="Times New Roman"/>
          <w:lang w:eastAsia="zh-CN"/>
        </w:rPr>
        <w:footnoteReference w:id="11"/>
      </w:r>
      <w:r w:rsidRPr="1BE0CC58">
        <w:rPr>
          <w:rFonts w:eastAsia="Calibri" w:cs="Times New Roman"/>
          <w:lang w:eastAsia="zh-CN"/>
        </w:rPr>
        <w:t xml:space="preserve"> Coney Island I (Site 1B)</w:t>
      </w:r>
      <w:r w:rsidR="3151B5AF" w:rsidRPr="1BE0CC58">
        <w:rPr>
          <w:rFonts w:eastAsia="Calibri" w:cs="Times New Roman"/>
          <w:lang w:eastAsia="zh-CN"/>
        </w:rPr>
        <w:t>,</w:t>
      </w:r>
      <w:r w:rsidR="00EC1F47" w:rsidRPr="1BE0CC58">
        <w:rPr>
          <w:rStyle w:val="FootnoteReference"/>
          <w:rFonts w:eastAsia="Calibri" w:cs="Times New Roman"/>
          <w:lang w:eastAsia="zh-CN"/>
        </w:rPr>
        <w:footnoteReference w:id="12"/>
      </w:r>
      <w:r w:rsidR="3151B5AF" w:rsidRPr="1BE0CC58">
        <w:rPr>
          <w:rFonts w:eastAsia="Calibri" w:cs="Times New Roman"/>
          <w:lang w:eastAsia="zh-CN"/>
        </w:rPr>
        <w:t xml:space="preserve"> and Hylan Houses</w:t>
      </w:r>
      <w:r w:rsidR="00325C8C" w:rsidRPr="1BE0CC58">
        <w:rPr>
          <w:rStyle w:val="FootnoteReference"/>
          <w:rFonts w:eastAsia="Calibri" w:cs="Times New Roman"/>
          <w:lang w:eastAsia="zh-CN"/>
        </w:rPr>
        <w:footnoteReference w:id="13"/>
      </w:r>
      <w:r w:rsidRPr="1BE0CC58">
        <w:rPr>
          <w:rFonts w:eastAsia="Calibri" w:cs="Times New Roman"/>
          <w:lang w:eastAsia="zh-CN"/>
        </w:rPr>
        <w:t>—</w:t>
      </w:r>
      <w:r w:rsidR="00DA19F8">
        <w:rPr>
          <w:rFonts w:eastAsia="Calibri" w:cs="Times New Roman"/>
          <w:lang w:eastAsia="zh-CN"/>
        </w:rPr>
        <w:t xml:space="preserve">have </w:t>
      </w:r>
      <w:r w:rsidR="3151B5AF" w:rsidRPr="1BE0CC58">
        <w:rPr>
          <w:rFonts w:eastAsia="Calibri" w:cs="Times New Roman"/>
          <w:lang w:eastAsia="zh-CN"/>
        </w:rPr>
        <w:t xml:space="preserve">voted to join the Trust; </w:t>
      </w:r>
      <w:r w:rsidRPr="1BE0CC58">
        <w:rPr>
          <w:rFonts w:eastAsia="Calibri" w:cs="Times New Roman"/>
          <w:lang w:eastAsia="zh-CN"/>
        </w:rPr>
        <w:t>Coney Island Houses</w:t>
      </w:r>
      <w:r w:rsidR="6679BA7D" w:rsidRPr="1BE0CC58">
        <w:rPr>
          <w:rFonts w:eastAsia="Calibri" w:cs="Times New Roman"/>
          <w:lang w:eastAsia="zh-CN"/>
        </w:rPr>
        <w:t>,</w:t>
      </w:r>
      <w:r w:rsidR="00325C8C" w:rsidRPr="1BE0CC58">
        <w:rPr>
          <w:rStyle w:val="FootnoteReference"/>
          <w:rFonts w:eastAsia="Calibri" w:cs="Times New Roman"/>
          <w:lang w:eastAsia="zh-CN"/>
        </w:rPr>
        <w:footnoteReference w:id="14"/>
      </w:r>
      <w:r w:rsidR="6679BA7D" w:rsidRPr="1BE0CC58">
        <w:rPr>
          <w:rFonts w:eastAsia="Calibri" w:cs="Times New Roman"/>
          <w:lang w:eastAsia="zh-CN"/>
        </w:rPr>
        <w:t xml:space="preserve"> Jacob Riis Houses</w:t>
      </w:r>
      <w:r w:rsidR="00906E11" w:rsidRPr="1BE0CC58">
        <w:rPr>
          <w:rStyle w:val="FootnoteReference"/>
          <w:rFonts w:eastAsia="Calibri" w:cs="Times New Roman"/>
          <w:lang w:eastAsia="zh-CN"/>
        </w:rPr>
        <w:footnoteReference w:id="15"/>
      </w:r>
      <w:r w:rsidR="6679BA7D" w:rsidRPr="1BE0CC58">
        <w:rPr>
          <w:rFonts w:eastAsia="Calibri" w:cs="Times New Roman"/>
          <w:lang w:eastAsia="zh-CN"/>
        </w:rPr>
        <w:t xml:space="preserve"> Throggs Neck</w:t>
      </w:r>
      <w:r w:rsidR="22FC5A91" w:rsidRPr="1BE0CC58">
        <w:rPr>
          <w:rFonts w:eastAsia="Calibri" w:cs="Times New Roman"/>
          <w:lang w:eastAsia="zh-CN"/>
        </w:rPr>
        <w:t xml:space="preserve"> Addition</w:t>
      </w:r>
      <w:r w:rsidR="00EC2EDD">
        <w:rPr>
          <w:rFonts w:eastAsia="Calibri" w:cs="Times New Roman"/>
          <w:lang w:eastAsia="zh-CN"/>
        </w:rPr>
        <w:t>,</w:t>
      </w:r>
      <w:r w:rsidR="00017C68" w:rsidRPr="1BE0CC58">
        <w:rPr>
          <w:rStyle w:val="FootnoteReference"/>
          <w:rFonts w:eastAsia="Calibri" w:cs="Times New Roman"/>
          <w:lang w:eastAsia="zh-CN"/>
        </w:rPr>
        <w:footnoteReference w:id="16"/>
      </w:r>
      <w:r w:rsidR="22FC5A91" w:rsidRPr="1BE0CC58">
        <w:rPr>
          <w:rFonts w:eastAsia="Calibri" w:cs="Times New Roman"/>
          <w:lang w:eastAsia="zh-CN"/>
        </w:rPr>
        <w:t xml:space="preserve"> </w:t>
      </w:r>
      <w:r w:rsidR="00EC2EDD">
        <w:rPr>
          <w:rFonts w:eastAsia="Calibri" w:cs="Times New Roman"/>
          <w:lang w:eastAsia="zh-CN"/>
        </w:rPr>
        <w:t xml:space="preserve">and </w:t>
      </w:r>
      <w:r w:rsidR="00EC2EDD">
        <w:rPr>
          <w:rFonts w:eastAsia="Calibri" w:cs="Times New Roman"/>
          <w:lang w:eastAsia="zh-CN"/>
        </w:rPr>
        <w:lastRenderedPageBreak/>
        <w:t>Stanley Isaacs Houses</w:t>
      </w:r>
      <w:r w:rsidR="00EC2EDD">
        <w:rPr>
          <w:rStyle w:val="FootnoteReference"/>
          <w:rFonts w:eastAsia="Calibri" w:cs="Times New Roman"/>
          <w:lang w:eastAsia="zh-CN"/>
        </w:rPr>
        <w:footnoteReference w:id="17"/>
      </w:r>
      <w:r w:rsidR="00EC2EDD">
        <w:rPr>
          <w:rFonts w:eastAsia="Calibri" w:cs="Times New Roman"/>
          <w:lang w:eastAsia="zh-CN"/>
        </w:rPr>
        <w:t xml:space="preserve"> </w:t>
      </w:r>
      <w:r w:rsidR="22FC5A91" w:rsidRPr="1BE0CC58">
        <w:rPr>
          <w:rFonts w:eastAsia="Calibri" w:cs="Times New Roman"/>
          <w:lang w:eastAsia="zh-CN"/>
        </w:rPr>
        <w:t>have</w:t>
      </w:r>
      <w:r w:rsidRPr="1BE0CC58">
        <w:rPr>
          <w:rFonts w:eastAsia="Calibri" w:cs="Times New Roman"/>
          <w:lang w:eastAsia="zh-CN"/>
        </w:rPr>
        <w:t xml:space="preserve"> voted to remain under Section 9</w:t>
      </w:r>
      <w:r w:rsidR="0B9D6C58" w:rsidRPr="1BE0CC58">
        <w:rPr>
          <w:rFonts w:eastAsia="Calibri" w:cs="Times New Roman"/>
          <w:lang w:eastAsia="zh-CN"/>
        </w:rPr>
        <w:t>;</w:t>
      </w:r>
      <w:r w:rsidR="1639A77D" w:rsidRPr="1BE0CC58">
        <w:rPr>
          <w:rFonts w:eastAsia="Calibri" w:cs="Times New Roman"/>
          <w:lang w:eastAsia="zh-CN"/>
        </w:rPr>
        <w:t xml:space="preserve"> and</w:t>
      </w:r>
      <w:r w:rsidR="5B7EEAEC" w:rsidRPr="1BE0CC58">
        <w:rPr>
          <w:rFonts w:eastAsia="Calibri" w:cs="Times New Roman"/>
          <w:lang w:eastAsia="zh-CN"/>
        </w:rPr>
        <w:t xml:space="preserve"> Randall Avenue-Balcom Avenue</w:t>
      </w:r>
      <w:r w:rsidR="0CEA4167" w:rsidRPr="1BE0CC58">
        <w:rPr>
          <w:rFonts w:eastAsia="Calibri" w:cs="Times New Roman"/>
          <w:lang w:eastAsia="zh-CN"/>
        </w:rPr>
        <w:t xml:space="preserve"> residents have voted to enter the PACT program</w:t>
      </w:r>
      <w:r w:rsidR="19D204C4" w:rsidRPr="1BE0CC58">
        <w:rPr>
          <w:rFonts w:eastAsia="Calibri" w:cs="Times New Roman"/>
          <w:lang w:eastAsia="zh-CN"/>
        </w:rPr>
        <w:t>.</w:t>
      </w:r>
      <w:r w:rsidR="00B93068" w:rsidRPr="1BE0CC58">
        <w:rPr>
          <w:rStyle w:val="FootnoteReference"/>
          <w:rFonts w:eastAsia="Calibri" w:cs="Times New Roman"/>
          <w:lang w:eastAsia="zh-CN"/>
        </w:rPr>
        <w:footnoteReference w:id="18"/>
      </w:r>
    </w:p>
    <w:p w14:paraId="63DA7178" w14:textId="77777777" w:rsidR="00EC1F47" w:rsidRPr="00B83B8C" w:rsidRDefault="00EC1F47" w:rsidP="00EC1F47">
      <w:pPr>
        <w:pStyle w:val="ListParagraph"/>
        <w:numPr>
          <w:ilvl w:val="0"/>
          <w:numId w:val="10"/>
        </w:numPr>
        <w:spacing w:after="0" w:line="480" w:lineRule="auto"/>
        <w:jc w:val="both"/>
        <w:rPr>
          <w:rFonts w:ascii="Times New Roman" w:hAnsi="Times New Roman"/>
          <w:b/>
          <w:sz w:val="24"/>
        </w:rPr>
      </w:pPr>
      <w:r w:rsidRPr="00B83B8C">
        <w:rPr>
          <w:rFonts w:ascii="Times New Roman" w:hAnsi="Times New Roman"/>
          <w:b/>
          <w:sz w:val="24"/>
        </w:rPr>
        <w:t>NYCHA’s Federal Monitor</w:t>
      </w:r>
    </w:p>
    <w:p w14:paraId="4E3FE355" w14:textId="77777777" w:rsidR="00EC1F47" w:rsidRPr="008A4CA6" w:rsidRDefault="00EC1F47" w:rsidP="00EC1F47">
      <w:pPr>
        <w:spacing w:after="0" w:line="480" w:lineRule="auto"/>
        <w:ind w:firstLine="720"/>
        <w:jc w:val="both"/>
        <w:rPr>
          <w:rFonts w:eastAsia="Calibri" w:cs="Times New Roman"/>
          <w:szCs w:val="24"/>
          <w:lang w:eastAsia="zh-CN"/>
        </w:rPr>
      </w:pPr>
      <w:r w:rsidRPr="63A088B0">
        <w:rPr>
          <w:rFonts w:eastAsia="Calibri" w:cs="Times New Roman"/>
          <w:lang w:eastAsia="zh-CN"/>
        </w:rPr>
        <w:t>Since 2019, NYCHA has been under a federal monitorship put in place through an agreement between NYCHA, the United States Attorney for the Southern District of New York (“SDNY”), the United States Department of Housing and Urban Development (“HUD”), and the United States Environmental Protection Agency (“EPA”) after several federal court cases, including one brought by the United States Department of Justice alleging “that NYCHA had routinely failed to comply with lead-based paint safety regulations; had failed to provide decent, safe, and sanitary housing, including with respect to the provision of heat and elevators and the control and treatment of mold and pests; and had repeatedly misled [HUD] through false statements and deceptive practices.”</w:t>
      </w:r>
      <w:r w:rsidRPr="63A088B0">
        <w:rPr>
          <w:rStyle w:val="FootnoteReference"/>
          <w:rFonts w:eastAsia="Calibri" w:cs="Times New Roman"/>
          <w:lang w:eastAsia="zh-CN"/>
        </w:rPr>
        <w:footnoteReference w:id="19"/>
      </w:r>
      <w:r w:rsidRPr="63A088B0">
        <w:rPr>
          <w:rFonts w:eastAsia="Calibri" w:cs="Times New Roman"/>
          <w:lang w:eastAsia="zh-CN"/>
        </w:rPr>
        <w:t xml:space="preserve"> The agreement (“HUD Agreement”) resulting from the lawsuit has led to substantial management changes within NYCHA, as well as increased funding from the City.</w:t>
      </w:r>
      <w:r w:rsidRPr="63A088B0">
        <w:rPr>
          <w:rStyle w:val="FootnoteReference"/>
          <w:rFonts w:eastAsia="Calibri" w:cs="Times New Roman"/>
          <w:lang w:eastAsia="zh-CN"/>
        </w:rPr>
        <w:footnoteReference w:id="20"/>
      </w:r>
    </w:p>
    <w:p w14:paraId="04010C73" w14:textId="3B3B9097" w:rsidR="003B76BF" w:rsidRDefault="00EC1F47" w:rsidP="008D67E8">
      <w:pPr>
        <w:suppressAutoHyphens/>
        <w:spacing w:after="0" w:line="480" w:lineRule="auto"/>
        <w:ind w:firstLine="720"/>
        <w:jc w:val="both"/>
        <w:rPr>
          <w:rFonts w:eastAsia="Calibri" w:cs="Times New Roman"/>
          <w:szCs w:val="24"/>
          <w:lang w:eastAsia="zh-CN"/>
        </w:rPr>
      </w:pPr>
      <w:r w:rsidRPr="63A088B0">
        <w:rPr>
          <w:rFonts w:eastAsia="Calibri" w:cs="Times New Roman"/>
          <w:lang w:eastAsia="zh-CN"/>
        </w:rPr>
        <w:t>In May 2023, SDNY opened applications for a monitor for a second five-year term, and on February 28, 2024, Neil Barofsky and Matt Cipolla from the law firm Jenner &amp; Block took over as co-monitors of NYCHA.</w:t>
      </w:r>
      <w:r w:rsidRPr="63A088B0">
        <w:rPr>
          <w:rStyle w:val="FootnoteReference"/>
          <w:rFonts w:eastAsia="Calibri" w:cs="Times New Roman"/>
          <w:lang w:eastAsia="zh-CN"/>
        </w:rPr>
        <w:footnoteReference w:id="21"/>
      </w:r>
      <w:r w:rsidRPr="63A088B0">
        <w:rPr>
          <w:rFonts w:eastAsia="Calibri" w:cs="Times New Roman"/>
          <w:lang w:eastAsia="zh-CN"/>
        </w:rPr>
        <w:t xml:space="preserve"> </w:t>
      </w:r>
      <w:r w:rsidR="00EF3A2F">
        <w:rPr>
          <w:rFonts w:eastAsia="Calibri" w:cs="Times New Roman"/>
          <w:lang w:eastAsia="zh-CN"/>
        </w:rPr>
        <w:t>Six</w:t>
      </w:r>
      <w:r w:rsidR="00EF3A2F" w:rsidRPr="63A088B0">
        <w:rPr>
          <w:rFonts w:eastAsia="Calibri" w:cs="Times New Roman"/>
          <w:lang w:eastAsia="zh-CN"/>
        </w:rPr>
        <w:t xml:space="preserve"> </w:t>
      </w:r>
      <w:r w:rsidR="003C0F44" w:rsidRPr="63A088B0">
        <w:rPr>
          <w:rFonts w:eastAsia="Calibri" w:cs="Times New Roman"/>
          <w:lang w:eastAsia="zh-CN"/>
        </w:rPr>
        <w:t xml:space="preserve">quarterly reports have since been released. </w:t>
      </w:r>
      <w:r w:rsidR="009B5AE2" w:rsidRPr="63A088B0">
        <w:rPr>
          <w:rFonts w:eastAsia="Calibri" w:cs="Times New Roman"/>
          <w:lang w:eastAsia="zh-CN"/>
        </w:rPr>
        <w:t>T</w:t>
      </w:r>
      <w:r w:rsidRPr="63A088B0">
        <w:rPr>
          <w:rFonts w:eastAsia="Calibri" w:cs="Times New Roman"/>
          <w:lang w:eastAsia="zh-CN"/>
        </w:rPr>
        <w:t>he first</w:t>
      </w:r>
      <w:r w:rsidR="00F747A0" w:rsidRPr="63A088B0">
        <w:rPr>
          <w:rFonts w:eastAsia="Calibri" w:cs="Times New Roman"/>
          <w:lang w:eastAsia="zh-CN"/>
        </w:rPr>
        <w:t xml:space="preserve">, issued in </w:t>
      </w:r>
      <w:r w:rsidR="00F747A0" w:rsidRPr="63A088B0">
        <w:rPr>
          <w:rFonts w:eastAsia="Calibri" w:cs="Times New Roman"/>
          <w:lang w:eastAsia="zh-CN"/>
        </w:rPr>
        <w:lastRenderedPageBreak/>
        <w:t>August 2024,</w:t>
      </w:r>
      <w:r w:rsidRPr="63A088B0">
        <w:rPr>
          <w:rFonts w:eastAsia="Calibri" w:cs="Times New Roman"/>
          <w:lang w:eastAsia="zh-CN"/>
        </w:rPr>
        <w:t xml:space="preserve"> </w:t>
      </w:r>
      <w:r w:rsidR="00C45C1F" w:rsidRPr="63A088B0">
        <w:rPr>
          <w:rFonts w:eastAsia="Calibri" w:cs="Times New Roman"/>
          <w:lang w:eastAsia="zh-CN"/>
        </w:rPr>
        <w:t>provides</w:t>
      </w:r>
      <w:r w:rsidRPr="63A088B0">
        <w:rPr>
          <w:rFonts w:eastAsia="Calibri" w:cs="Times New Roman"/>
          <w:lang w:eastAsia="zh-CN"/>
        </w:rPr>
        <w:t xml:space="preserve"> an overview of the monitorship</w:t>
      </w:r>
      <w:r w:rsidR="001A3DFE" w:rsidRPr="63A088B0">
        <w:rPr>
          <w:rFonts w:eastAsia="Calibri" w:cs="Times New Roman"/>
          <w:lang w:eastAsia="zh-CN"/>
        </w:rPr>
        <w:t>,</w:t>
      </w:r>
      <w:r w:rsidRPr="63A088B0">
        <w:rPr>
          <w:rFonts w:eastAsia="Calibri" w:cs="Times New Roman"/>
          <w:lang w:eastAsia="zh-CN"/>
        </w:rPr>
        <w:t xml:space="preserve"> and the </w:t>
      </w:r>
      <w:r w:rsidR="00EF3A2F">
        <w:rPr>
          <w:rFonts w:eastAsia="Calibri" w:cs="Times New Roman"/>
          <w:lang w:eastAsia="zh-CN"/>
        </w:rPr>
        <w:t>subsequent quarterly reports</w:t>
      </w:r>
      <w:r w:rsidRPr="63A088B0">
        <w:rPr>
          <w:rFonts w:eastAsia="Calibri" w:cs="Times New Roman"/>
          <w:lang w:eastAsia="zh-CN"/>
        </w:rPr>
        <w:t>,</w:t>
      </w:r>
      <w:r w:rsidR="00F747A0" w:rsidRPr="63A088B0">
        <w:rPr>
          <w:rFonts w:eastAsia="Calibri" w:cs="Times New Roman"/>
          <w:lang w:eastAsia="zh-CN"/>
        </w:rPr>
        <w:t xml:space="preserve"> </w:t>
      </w:r>
      <w:r w:rsidR="00EF3A2F">
        <w:rPr>
          <w:rFonts w:eastAsia="Calibri" w:cs="Times New Roman"/>
          <w:lang w:eastAsia="zh-CN"/>
        </w:rPr>
        <w:t xml:space="preserve">the most recent </w:t>
      </w:r>
      <w:r w:rsidR="00F747A0" w:rsidRPr="63A088B0">
        <w:rPr>
          <w:rFonts w:eastAsia="Calibri" w:cs="Times New Roman"/>
          <w:lang w:eastAsia="zh-CN"/>
        </w:rPr>
        <w:t>issued i</w:t>
      </w:r>
      <w:r w:rsidRPr="63A088B0">
        <w:rPr>
          <w:rFonts w:eastAsia="Calibri" w:cs="Times New Roman"/>
          <w:lang w:eastAsia="zh-CN"/>
        </w:rPr>
        <w:t xml:space="preserve">n </w:t>
      </w:r>
      <w:r w:rsidR="00EF3A2F">
        <w:rPr>
          <w:rFonts w:eastAsia="Calibri" w:cs="Times New Roman"/>
          <w:lang w:eastAsia="zh-CN"/>
        </w:rPr>
        <w:t xml:space="preserve">December </w:t>
      </w:r>
      <w:r w:rsidR="00DB2048" w:rsidRPr="63A088B0">
        <w:rPr>
          <w:rFonts w:eastAsia="Calibri" w:cs="Times New Roman"/>
          <w:lang w:eastAsia="zh-CN"/>
        </w:rPr>
        <w:t>2025</w:t>
      </w:r>
      <w:r w:rsidRPr="63A088B0">
        <w:rPr>
          <w:rFonts w:eastAsia="Calibri" w:cs="Times New Roman"/>
          <w:lang w:eastAsia="zh-CN"/>
        </w:rPr>
        <w:t xml:space="preserve">, </w:t>
      </w:r>
      <w:r w:rsidR="00C45C1F" w:rsidRPr="63A088B0">
        <w:rPr>
          <w:rFonts w:eastAsia="Calibri" w:cs="Times New Roman"/>
          <w:lang w:eastAsia="zh-CN"/>
        </w:rPr>
        <w:t>evaluate</w:t>
      </w:r>
      <w:r w:rsidRPr="63A088B0">
        <w:rPr>
          <w:rFonts w:eastAsia="Calibri" w:cs="Times New Roman"/>
          <w:lang w:eastAsia="zh-CN"/>
        </w:rPr>
        <w:t xml:space="preserve"> NYCHA’s progress</w:t>
      </w:r>
      <w:r w:rsidR="00C7009F">
        <w:rPr>
          <w:rFonts w:eastAsia="Calibri" w:cs="Times New Roman"/>
          <w:lang w:eastAsia="zh-CN"/>
        </w:rPr>
        <w:t xml:space="preserve"> or regression</w:t>
      </w:r>
      <w:r w:rsidRPr="63A088B0">
        <w:rPr>
          <w:rFonts w:eastAsia="Calibri" w:cs="Times New Roman"/>
          <w:lang w:eastAsia="zh-CN"/>
        </w:rPr>
        <w:t xml:space="preserve"> in the six key property management areas targeted by the HUD agreement: heat, pests and waste, lead paint, mold and leaks, elevators, and inspections.</w:t>
      </w:r>
      <w:r w:rsidRPr="63A088B0">
        <w:rPr>
          <w:rStyle w:val="FootnoteReference"/>
          <w:rFonts w:eastAsia="Calibri" w:cs="Times New Roman"/>
          <w:lang w:eastAsia="zh-CN"/>
        </w:rPr>
        <w:footnoteReference w:id="22"/>
      </w:r>
    </w:p>
    <w:p w14:paraId="0265EB0B" w14:textId="34F8B76D" w:rsidR="00D265A5" w:rsidRPr="00B155CE" w:rsidRDefault="00D265A5" w:rsidP="00D265A5">
      <w:pPr>
        <w:pStyle w:val="ListParagraph"/>
        <w:numPr>
          <w:ilvl w:val="0"/>
          <w:numId w:val="9"/>
        </w:numPr>
        <w:spacing w:after="0" w:line="480" w:lineRule="auto"/>
        <w:jc w:val="both"/>
        <w:rPr>
          <w:rFonts w:ascii="Times New Roman" w:hAnsi="Times New Roman"/>
          <w:b/>
          <w:bCs/>
          <w:sz w:val="24"/>
          <w:szCs w:val="24"/>
        </w:rPr>
      </w:pPr>
      <w:r>
        <w:rPr>
          <w:rFonts w:ascii="Times New Roman" w:hAnsi="Times New Roman"/>
          <w:b/>
          <w:bCs/>
          <w:sz w:val="24"/>
          <w:szCs w:val="24"/>
        </w:rPr>
        <w:t>VACANT APARTMENTS AT NYCHA</w:t>
      </w:r>
    </w:p>
    <w:p w14:paraId="43642234" w14:textId="1795EE7C" w:rsidR="003B76BF" w:rsidRPr="003B76BF" w:rsidRDefault="00707EAB" w:rsidP="00D265A5">
      <w:pPr>
        <w:suppressAutoHyphens/>
        <w:spacing w:after="0" w:line="480" w:lineRule="auto"/>
        <w:ind w:firstLine="720"/>
        <w:jc w:val="both"/>
        <w:rPr>
          <w:rFonts w:eastAsia="Calibri" w:cs="Times New Roman"/>
          <w:lang w:eastAsia="zh-CN"/>
        </w:rPr>
      </w:pPr>
      <w:r>
        <w:rPr>
          <w:rFonts w:eastAsia="Calibri" w:cs="Times New Roman"/>
          <w:lang w:eastAsia="zh-CN"/>
        </w:rPr>
        <w:t xml:space="preserve">The </w:t>
      </w:r>
      <w:r w:rsidR="76E9A469" w:rsidRPr="1BE0CC58">
        <w:rPr>
          <w:rFonts w:eastAsia="Calibri" w:cs="Times New Roman"/>
          <w:lang w:eastAsia="zh-CN"/>
        </w:rPr>
        <w:t>NYC</w:t>
      </w:r>
      <w:r w:rsidR="12BAD0C0" w:rsidRPr="1BE0CC58">
        <w:rPr>
          <w:rFonts w:eastAsia="Calibri" w:cs="Times New Roman"/>
          <w:lang w:eastAsia="zh-CN"/>
        </w:rPr>
        <w:t xml:space="preserve"> </w:t>
      </w:r>
      <w:r>
        <w:rPr>
          <w:rFonts w:eastAsia="Calibri" w:cs="Times New Roman"/>
          <w:lang w:eastAsia="zh-CN"/>
        </w:rPr>
        <w:t xml:space="preserve">housing market </w:t>
      </w:r>
      <w:r w:rsidR="66129A33" w:rsidRPr="1BE0CC58">
        <w:rPr>
          <w:rFonts w:eastAsia="Calibri" w:cs="Times New Roman"/>
          <w:lang w:eastAsia="zh-CN"/>
        </w:rPr>
        <w:t>has seen significant misalignment in demand and supply</w:t>
      </w:r>
      <w:r w:rsidR="12BAD0C0" w:rsidRPr="1BE0CC58">
        <w:rPr>
          <w:rFonts w:eastAsia="Calibri" w:cs="Times New Roman"/>
          <w:lang w:eastAsia="zh-CN"/>
        </w:rPr>
        <w:t xml:space="preserve"> in recent years.</w:t>
      </w:r>
      <w:r w:rsidR="00173F75" w:rsidRPr="1BE0CC58">
        <w:rPr>
          <w:rStyle w:val="FootnoteReference"/>
          <w:rFonts w:eastAsia="Calibri" w:cs="Times New Roman"/>
          <w:lang w:eastAsia="zh-CN"/>
        </w:rPr>
        <w:footnoteReference w:id="23"/>
      </w:r>
      <w:r w:rsidR="5D52516B" w:rsidRPr="1BE0CC58">
        <w:rPr>
          <w:rFonts w:eastAsia="Calibri" w:cs="Times New Roman"/>
          <w:lang w:eastAsia="zh-CN"/>
        </w:rPr>
        <w:t xml:space="preserve"> </w:t>
      </w:r>
      <w:r w:rsidR="25EE879E" w:rsidRPr="1BE0CC58">
        <w:rPr>
          <w:rFonts w:eastAsia="Calibri" w:cs="Times New Roman"/>
          <w:lang w:eastAsia="zh-CN"/>
        </w:rPr>
        <w:t>T</w:t>
      </w:r>
      <w:r w:rsidR="2D1102AE" w:rsidRPr="1BE0CC58">
        <w:rPr>
          <w:rFonts w:eastAsia="Calibri" w:cs="Times New Roman"/>
          <w:lang w:eastAsia="zh-CN"/>
        </w:rPr>
        <w:t>he waitlist for a NYC</w:t>
      </w:r>
      <w:r w:rsidR="6A3B78B2" w:rsidRPr="1BE0CC58">
        <w:rPr>
          <w:rFonts w:eastAsia="Calibri" w:cs="Times New Roman"/>
          <w:lang w:eastAsia="zh-CN"/>
        </w:rPr>
        <w:t xml:space="preserve">HA </w:t>
      </w:r>
      <w:r w:rsidR="2D1102AE" w:rsidRPr="1BE0CC58">
        <w:rPr>
          <w:rFonts w:eastAsia="Calibri" w:cs="Times New Roman"/>
          <w:lang w:eastAsia="zh-CN"/>
        </w:rPr>
        <w:t>apartment</w:t>
      </w:r>
      <w:r w:rsidR="5A5091C6" w:rsidRPr="1BE0CC58">
        <w:rPr>
          <w:rFonts w:eastAsia="Calibri" w:cs="Times New Roman"/>
          <w:lang w:eastAsia="zh-CN"/>
        </w:rPr>
        <w:t xml:space="preserve"> tells a similar story in the public housing context</w:t>
      </w:r>
      <w:r w:rsidR="2D1102AE" w:rsidRPr="001D5B92">
        <w:rPr>
          <w:rFonts w:eastAsia="Calibri" w:cs="Times New Roman"/>
          <w:lang w:eastAsia="zh-CN"/>
        </w:rPr>
        <w:t xml:space="preserve">. </w:t>
      </w:r>
      <w:r w:rsidR="1AE99FEC" w:rsidRPr="001D5B92">
        <w:rPr>
          <w:rFonts w:eastAsia="Calibri" w:cs="Times New Roman"/>
          <w:lang w:eastAsia="zh-CN"/>
        </w:rPr>
        <w:t>As of December 31, 202</w:t>
      </w:r>
      <w:r w:rsidR="008E2DB0" w:rsidRPr="009C6D33">
        <w:rPr>
          <w:rFonts w:eastAsia="Calibri" w:cs="Times New Roman"/>
          <w:lang w:eastAsia="zh-CN"/>
        </w:rPr>
        <w:t>4</w:t>
      </w:r>
      <w:r w:rsidR="1AE99FEC" w:rsidRPr="001D5B92">
        <w:rPr>
          <w:rFonts w:eastAsia="Calibri" w:cs="Times New Roman"/>
          <w:lang w:eastAsia="zh-CN"/>
        </w:rPr>
        <w:t>, NYCHA’s Public Housing waiting list ha</w:t>
      </w:r>
      <w:r w:rsidR="00452D05" w:rsidRPr="001D5B92">
        <w:rPr>
          <w:rFonts w:eastAsia="Calibri" w:cs="Times New Roman"/>
          <w:lang w:eastAsia="zh-CN"/>
        </w:rPr>
        <w:t>d</w:t>
      </w:r>
      <w:r w:rsidR="1AE99FEC" w:rsidRPr="001D5B92">
        <w:rPr>
          <w:rFonts w:eastAsia="Calibri" w:cs="Times New Roman"/>
          <w:lang w:eastAsia="zh-CN"/>
        </w:rPr>
        <w:t xml:space="preserve"> </w:t>
      </w:r>
      <w:r w:rsidR="008E2DB0" w:rsidRPr="009C6D33">
        <w:rPr>
          <w:rFonts w:eastAsia="Calibri" w:cs="Times New Roman"/>
          <w:lang w:eastAsia="zh-CN"/>
        </w:rPr>
        <w:t>182,549</w:t>
      </w:r>
      <w:r w:rsidR="1AE99FEC" w:rsidRPr="001D5B92">
        <w:rPr>
          <w:rFonts w:eastAsia="Calibri" w:cs="Times New Roman"/>
          <w:lang w:eastAsia="zh-CN"/>
        </w:rPr>
        <w:t xml:space="preserve"> families, down from </w:t>
      </w:r>
      <w:r w:rsidR="008E2DB0" w:rsidRPr="009C6D33">
        <w:rPr>
          <w:rFonts w:eastAsia="Calibri" w:cs="Times New Roman"/>
          <w:lang w:eastAsia="zh-CN"/>
        </w:rPr>
        <w:t xml:space="preserve">241,178 </w:t>
      </w:r>
      <w:r w:rsidR="1AE99FEC" w:rsidRPr="001D5B92">
        <w:rPr>
          <w:rFonts w:eastAsia="Calibri" w:cs="Times New Roman"/>
          <w:lang w:eastAsia="zh-CN"/>
        </w:rPr>
        <w:t xml:space="preserve">families reported in </w:t>
      </w:r>
      <w:r w:rsidR="008E2DB0" w:rsidRPr="009C6D33">
        <w:rPr>
          <w:rFonts w:eastAsia="Calibri" w:cs="Times New Roman"/>
          <w:lang w:eastAsia="zh-CN"/>
        </w:rPr>
        <w:t xml:space="preserve">December </w:t>
      </w:r>
      <w:r w:rsidR="008E2DB0" w:rsidRPr="001D5B92">
        <w:rPr>
          <w:rFonts w:eastAsia="Calibri" w:cs="Times New Roman"/>
          <w:lang w:eastAsia="zh-CN"/>
        </w:rPr>
        <w:t>202</w:t>
      </w:r>
      <w:r w:rsidR="008E2DB0" w:rsidRPr="009C6D33">
        <w:rPr>
          <w:rFonts w:eastAsia="Calibri" w:cs="Times New Roman"/>
          <w:lang w:eastAsia="zh-CN"/>
        </w:rPr>
        <w:t>3</w:t>
      </w:r>
      <w:r w:rsidR="00452D05" w:rsidRPr="001D5B92">
        <w:rPr>
          <w:rFonts w:eastAsia="Calibri" w:cs="Times New Roman"/>
          <w:lang w:eastAsia="zh-CN"/>
        </w:rPr>
        <w:t>.</w:t>
      </w:r>
      <w:r w:rsidR="005F7B71" w:rsidRPr="001D5B92">
        <w:rPr>
          <w:rStyle w:val="FootnoteReference"/>
          <w:rFonts w:eastAsia="Calibri" w:cs="Times New Roman"/>
          <w:lang w:eastAsia="zh-CN"/>
        </w:rPr>
        <w:footnoteReference w:id="24"/>
      </w:r>
      <w:r w:rsidR="7EDA22CE" w:rsidRPr="1BE0CC58">
        <w:rPr>
          <w:rFonts w:eastAsia="Calibri" w:cs="Times New Roman"/>
          <w:lang w:eastAsia="zh-CN"/>
        </w:rPr>
        <w:t xml:space="preserve"> NYCHA’</w:t>
      </w:r>
      <w:r w:rsidR="32B26672" w:rsidRPr="1BE0CC58">
        <w:rPr>
          <w:rFonts w:eastAsia="Calibri" w:cs="Times New Roman"/>
          <w:lang w:eastAsia="zh-CN"/>
        </w:rPr>
        <w:t xml:space="preserve">s Section 8 waiting list, which selected 200,000 families from </w:t>
      </w:r>
      <w:r w:rsidR="699E463A" w:rsidRPr="1BE0CC58">
        <w:rPr>
          <w:rFonts w:eastAsia="Calibri" w:cs="Times New Roman"/>
          <w:lang w:eastAsia="zh-CN"/>
        </w:rPr>
        <w:t>over</w:t>
      </w:r>
      <w:r w:rsidR="32B26672" w:rsidRPr="1BE0CC58">
        <w:rPr>
          <w:rFonts w:eastAsia="Calibri" w:cs="Times New Roman"/>
          <w:lang w:eastAsia="zh-CN"/>
        </w:rPr>
        <w:t xml:space="preserve"> 600,000 applications</w:t>
      </w:r>
      <w:r w:rsidR="00D637E1">
        <w:rPr>
          <w:rFonts w:eastAsia="Calibri" w:cs="Times New Roman"/>
          <w:lang w:eastAsia="zh-CN"/>
        </w:rPr>
        <w:t xml:space="preserve"> when it reopened in June 2024,</w:t>
      </w:r>
      <w:r w:rsidR="699E463A" w:rsidRPr="1BE0CC58">
        <w:rPr>
          <w:rFonts w:eastAsia="Calibri" w:cs="Times New Roman"/>
          <w:lang w:eastAsia="zh-CN"/>
        </w:rPr>
        <w:t xml:space="preserve"> </w:t>
      </w:r>
      <w:r w:rsidR="00452D05">
        <w:rPr>
          <w:rFonts w:eastAsia="Calibri" w:cs="Times New Roman"/>
          <w:lang w:eastAsia="zh-CN"/>
        </w:rPr>
        <w:t xml:space="preserve">included </w:t>
      </w:r>
      <w:r w:rsidR="699E463A" w:rsidRPr="1BE0CC58">
        <w:rPr>
          <w:rFonts w:eastAsia="Calibri" w:cs="Times New Roman"/>
          <w:lang w:eastAsia="zh-CN"/>
        </w:rPr>
        <w:t>20</w:t>
      </w:r>
      <w:r w:rsidR="003C14A8">
        <w:rPr>
          <w:rFonts w:eastAsia="Calibri" w:cs="Times New Roman"/>
          <w:lang w:eastAsia="zh-CN"/>
        </w:rPr>
        <w:t>3</w:t>
      </w:r>
      <w:r w:rsidR="699E463A" w:rsidRPr="1BE0CC58">
        <w:rPr>
          <w:rFonts w:eastAsia="Calibri" w:cs="Times New Roman"/>
          <w:lang w:eastAsia="zh-CN"/>
        </w:rPr>
        <w:t>,</w:t>
      </w:r>
      <w:r w:rsidR="003C14A8">
        <w:rPr>
          <w:rFonts w:eastAsia="Calibri" w:cs="Times New Roman"/>
          <w:lang w:eastAsia="zh-CN"/>
        </w:rPr>
        <w:t>236</w:t>
      </w:r>
      <w:r w:rsidR="003C14A8" w:rsidRPr="1BE0CC58">
        <w:rPr>
          <w:rFonts w:eastAsia="Calibri" w:cs="Times New Roman"/>
          <w:lang w:eastAsia="zh-CN"/>
        </w:rPr>
        <w:t xml:space="preserve"> </w:t>
      </w:r>
      <w:r w:rsidR="699E463A" w:rsidRPr="1BE0CC58">
        <w:rPr>
          <w:rFonts w:eastAsia="Calibri" w:cs="Times New Roman"/>
          <w:lang w:eastAsia="zh-CN"/>
        </w:rPr>
        <w:t xml:space="preserve">families as of </w:t>
      </w:r>
      <w:r w:rsidR="003C14A8">
        <w:rPr>
          <w:rFonts w:eastAsia="Calibri" w:cs="Times New Roman"/>
          <w:lang w:eastAsia="zh-CN"/>
        </w:rPr>
        <w:t>December</w:t>
      </w:r>
      <w:r w:rsidR="003C14A8" w:rsidRPr="1BE0CC58">
        <w:rPr>
          <w:rFonts w:eastAsia="Calibri" w:cs="Times New Roman"/>
          <w:lang w:eastAsia="zh-CN"/>
        </w:rPr>
        <w:t xml:space="preserve"> </w:t>
      </w:r>
      <w:r w:rsidR="699E463A" w:rsidRPr="1BE0CC58">
        <w:rPr>
          <w:rFonts w:eastAsia="Calibri" w:cs="Times New Roman"/>
          <w:lang w:eastAsia="zh-CN"/>
        </w:rPr>
        <w:t>202</w:t>
      </w:r>
      <w:r w:rsidR="003C14A8">
        <w:rPr>
          <w:rFonts w:eastAsia="Calibri" w:cs="Times New Roman"/>
          <w:lang w:eastAsia="zh-CN"/>
        </w:rPr>
        <w:t>4</w:t>
      </w:r>
      <w:r w:rsidR="699E463A" w:rsidRPr="1BE0CC58">
        <w:rPr>
          <w:rFonts w:eastAsia="Calibri" w:cs="Times New Roman"/>
          <w:lang w:eastAsia="zh-CN"/>
        </w:rPr>
        <w:t>.</w:t>
      </w:r>
      <w:r w:rsidR="00B66F4B" w:rsidRPr="1BE0CC58">
        <w:rPr>
          <w:rStyle w:val="FootnoteReference"/>
          <w:rFonts w:eastAsia="Calibri" w:cs="Times New Roman"/>
          <w:lang w:eastAsia="zh-CN"/>
        </w:rPr>
        <w:footnoteReference w:id="25"/>
      </w:r>
      <w:r w:rsidR="0D6DBB70" w:rsidRPr="1BE0CC58">
        <w:rPr>
          <w:rFonts w:eastAsia="Calibri" w:cs="Times New Roman"/>
          <w:lang w:eastAsia="zh-CN"/>
        </w:rPr>
        <w:t xml:space="preserve"> These numbers show that </w:t>
      </w:r>
      <w:r>
        <w:rPr>
          <w:rFonts w:eastAsia="Calibri" w:cs="Times New Roman"/>
          <w:lang w:eastAsia="zh-CN"/>
        </w:rPr>
        <w:t>there is significant demand for</w:t>
      </w:r>
      <w:r w:rsidR="3D73FB40" w:rsidRPr="1BE0CC58">
        <w:rPr>
          <w:rFonts w:eastAsia="Calibri" w:cs="Times New Roman"/>
          <w:lang w:eastAsia="zh-CN"/>
        </w:rPr>
        <w:t xml:space="preserve"> </w:t>
      </w:r>
      <w:r>
        <w:rPr>
          <w:rFonts w:eastAsia="Calibri" w:cs="Times New Roman"/>
          <w:lang w:eastAsia="zh-CN"/>
        </w:rPr>
        <w:t>the</w:t>
      </w:r>
      <w:r w:rsidR="3C6F1334" w:rsidRPr="1BE0CC58">
        <w:rPr>
          <w:rFonts w:eastAsia="Calibri" w:cs="Times New Roman"/>
          <w:lang w:eastAsia="zh-CN"/>
        </w:rPr>
        <w:t xml:space="preserve"> affordable housing</w:t>
      </w:r>
      <w:r>
        <w:rPr>
          <w:rFonts w:eastAsia="Calibri" w:cs="Times New Roman"/>
          <w:lang w:eastAsia="zh-CN"/>
        </w:rPr>
        <w:t xml:space="preserve"> NYCHA is able to offer</w:t>
      </w:r>
      <w:r w:rsidR="3C6F1334" w:rsidRPr="1BE0CC58">
        <w:rPr>
          <w:rFonts w:eastAsia="Calibri" w:cs="Times New Roman"/>
          <w:lang w:eastAsia="zh-CN"/>
        </w:rPr>
        <w:t>.</w:t>
      </w:r>
    </w:p>
    <w:p w14:paraId="23C7722B" w14:textId="6209276F" w:rsidR="000900B3" w:rsidRDefault="39433502" w:rsidP="0018172C">
      <w:pPr>
        <w:spacing w:after="0" w:line="480" w:lineRule="auto"/>
        <w:ind w:firstLine="720"/>
        <w:jc w:val="both"/>
        <w:rPr>
          <w:rFonts w:eastAsia="Calibri" w:cs="Times New Roman"/>
          <w:lang w:eastAsia="zh-CN"/>
        </w:rPr>
      </w:pPr>
      <w:r w:rsidRPr="1BE0CC58">
        <w:rPr>
          <w:rFonts w:eastAsia="Calibri" w:cs="Times New Roman"/>
          <w:lang w:eastAsia="zh-CN"/>
        </w:rPr>
        <w:t xml:space="preserve">However, </w:t>
      </w:r>
      <w:r w:rsidR="5C51658B" w:rsidRPr="1BE0CC58">
        <w:rPr>
          <w:rFonts w:eastAsia="Calibri" w:cs="Times New Roman"/>
          <w:lang w:eastAsia="zh-CN"/>
        </w:rPr>
        <w:t>the availability</w:t>
      </w:r>
      <w:r w:rsidRPr="1BE0CC58">
        <w:rPr>
          <w:rFonts w:eastAsia="Calibri" w:cs="Times New Roman"/>
          <w:lang w:eastAsia="zh-CN"/>
        </w:rPr>
        <w:t xml:space="preserve"> of apartments for new residents is limited. Indeed, the quantity and duration of vacancies across NYCHA’s portfolio has increased in recent years. </w:t>
      </w:r>
      <w:r w:rsidR="1DF07736" w:rsidRPr="081377DC">
        <w:rPr>
          <w:rFonts w:eastAsia="Calibri" w:cs="Times New Roman"/>
          <w:lang w:eastAsia="zh-CN"/>
        </w:rPr>
        <w:t xml:space="preserve">While NYCHA has maintained an occupancy rate </w:t>
      </w:r>
      <w:r w:rsidR="000152AB">
        <w:rPr>
          <w:rFonts w:eastAsia="Calibri" w:cs="Times New Roman"/>
          <w:lang w:eastAsia="zh-CN"/>
        </w:rPr>
        <w:t xml:space="preserve">of over 99% </w:t>
      </w:r>
      <w:r w:rsidR="1DF07736" w:rsidRPr="081377DC">
        <w:rPr>
          <w:rFonts w:eastAsia="Calibri" w:cs="Times New Roman"/>
          <w:lang w:eastAsia="zh-CN"/>
        </w:rPr>
        <w:t>over most of the past two decades,</w:t>
      </w:r>
      <w:r w:rsidR="00033319">
        <w:rPr>
          <w:rStyle w:val="FootnoteReference"/>
          <w:rFonts w:eastAsia="Calibri" w:cs="Times New Roman"/>
          <w:lang w:eastAsia="zh-CN"/>
        </w:rPr>
        <w:footnoteReference w:id="26"/>
      </w:r>
      <w:r w:rsidR="1DF07736" w:rsidRPr="081377DC">
        <w:rPr>
          <w:rFonts w:eastAsia="Calibri" w:cs="Times New Roman"/>
          <w:lang w:eastAsia="zh-CN"/>
        </w:rPr>
        <w:t xml:space="preserve"> this rate </w:t>
      </w:r>
      <w:r w:rsidR="37E26136" w:rsidRPr="081377DC">
        <w:rPr>
          <w:rFonts w:eastAsia="Calibri" w:cs="Times New Roman"/>
          <w:lang w:eastAsia="zh-CN"/>
        </w:rPr>
        <w:t>fell</w:t>
      </w:r>
      <w:r w:rsidR="1DF07736" w:rsidRPr="081377DC">
        <w:rPr>
          <w:rFonts w:eastAsia="Calibri" w:cs="Times New Roman"/>
          <w:lang w:eastAsia="zh-CN"/>
        </w:rPr>
        <w:t xml:space="preserve"> </w:t>
      </w:r>
      <w:r w:rsidR="1DF07736" w:rsidRPr="081377DC">
        <w:rPr>
          <w:rFonts w:eastAsia="Calibri" w:cs="Times New Roman"/>
          <w:lang w:eastAsia="zh-CN"/>
        </w:rPr>
        <w:lastRenderedPageBreak/>
        <w:t>to 97.5% in Fiscal Year 2022 and to 95.3% in Fiscal Year 2025.</w:t>
      </w:r>
      <w:r w:rsidR="71FCF21F" w:rsidRPr="081377DC">
        <w:rPr>
          <w:rStyle w:val="FootnoteReference"/>
          <w:rFonts w:eastAsia="Calibri" w:cs="Times New Roman"/>
          <w:lang w:eastAsia="zh-CN"/>
        </w:rPr>
        <w:footnoteReference w:id="27"/>
      </w:r>
      <w:r w:rsidR="1DF07736" w:rsidRPr="081377DC">
        <w:rPr>
          <w:rFonts w:eastAsia="Calibri" w:cs="Times New Roman"/>
          <w:lang w:eastAsia="zh-CN"/>
        </w:rPr>
        <w:t xml:space="preserve"> These percentage changes represent hundreds to thousands of vacant units</w:t>
      </w:r>
      <w:r w:rsidR="00DC7164">
        <w:rPr>
          <w:rFonts w:eastAsia="Calibri" w:cs="Times New Roman"/>
          <w:lang w:eastAsia="zh-CN"/>
        </w:rPr>
        <w:t xml:space="preserve"> </w:t>
      </w:r>
      <w:r w:rsidR="00CB568F">
        <w:rPr>
          <w:rFonts w:eastAsia="Calibri" w:cs="Times New Roman"/>
          <w:lang w:eastAsia="zh-CN"/>
        </w:rPr>
        <w:t>NYCHA has also held units vacant for relocation comprehensive modernization project</w:t>
      </w:r>
      <w:r w:rsidR="0018172C">
        <w:rPr>
          <w:rFonts w:eastAsia="Calibri" w:cs="Times New Roman"/>
          <w:lang w:eastAsia="zh-CN"/>
        </w:rPr>
        <w:t>s</w:t>
      </w:r>
      <w:r w:rsidR="00CB568F">
        <w:rPr>
          <w:rFonts w:eastAsia="Calibri" w:cs="Times New Roman"/>
          <w:lang w:eastAsia="zh-CN"/>
        </w:rPr>
        <w:t>.</w:t>
      </w:r>
      <w:r w:rsidR="00CB568F">
        <w:rPr>
          <w:rStyle w:val="FootnoteReference"/>
          <w:rFonts w:eastAsia="Calibri" w:cs="Times New Roman"/>
          <w:lang w:eastAsia="zh-CN"/>
        </w:rPr>
        <w:footnoteReference w:id="28"/>
      </w:r>
    </w:p>
    <w:p w14:paraId="11F6F0D4" w14:textId="08B3F956" w:rsidR="00F027DE" w:rsidRPr="009C6D33" w:rsidRDefault="00E31185" w:rsidP="0018172C">
      <w:pPr>
        <w:spacing w:after="0" w:line="480" w:lineRule="auto"/>
        <w:ind w:firstLine="720"/>
        <w:jc w:val="both"/>
        <w:rPr>
          <w:rFonts w:eastAsia="Calibri" w:cs="Times New Roman"/>
          <w:lang w:eastAsia="zh-CN"/>
        </w:rPr>
      </w:pPr>
      <w:r>
        <w:rPr>
          <w:rFonts w:eastAsia="Calibri" w:cs="Times New Roman"/>
          <w:lang w:eastAsia="zh-CN"/>
        </w:rPr>
        <w:t>On</w:t>
      </w:r>
      <w:r w:rsidR="007D624C">
        <w:rPr>
          <w:rFonts w:eastAsia="Calibri" w:cs="Times New Roman"/>
          <w:lang w:eastAsia="zh-CN"/>
        </w:rPr>
        <w:t xml:space="preserve"> March </w:t>
      </w:r>
      <w:r>
        <w:rPr>
          <w:rFonts w:eastAsia="Calibri" w:cs="Times New Roman"/>
          <w:lang w:eastAsia="zh-CN"/>
        </w:rPr>
        <w:t xml:space="preserve">3, </w:t>
      </w:r>
      <w:r w:rsidR="007D624C">
        <w:rPr>
          <w:rFonts w:eastAsia="Calibri" w:cs="Times New Roman"/>
          <w:lang w:eastAsia="zh-CN"/>
        </w:rPr>
        <w:t xml:space="preserve">2026, </w:t>
      </w:r>
      <w:r w:rsidR="00DC7164">
        <w:rPr>
          <w:rFonts w:eastAsia="Calibri" w:cs="Times New Roman"/>
          <w:lang w:eastAsia="zh-CN"/>
        </w:rPr>
        <w:t>the New York City Department of Investigations (</w:t>
      </w:r>
      <w:r w:rsidR="007D624C">
        <w:rPr>
          <w:rFonts w:eastAsia="Calibri" w:cs="Times New Roman"/>
          <w:lang w:eastAsia="zh-CN"/>
        </w:rPr>
        <w:t>“</w:t>
      </w:r>
      <w:r w:rsidR="00DC7164">
        <w:rPr>
          <w:rFonts w:eastAsia="Calibri" w:cs="Times New Roman"/>
          <w:lang w:eastAsia="zh-CN"/>
        </w:rPr>
        <w:t>DOI</w:t>
      </w:r>
      <w:r w:rsidR="007D624C">
        <w:rPr>
          <w:rFonts w:eastAsia="Calibri" w:cs="Times New Roman"/>
          <w:lang w:eastAsia="zh-CN"/>
        </w:rPr>
        <w:t>”</w:t>
      </w:r>
      <w:r w:rsidR="00DC7164">
        <w:rPr>
          <w:rFonts w:eastAsia="Calibri" w:cs="Times New Roman"/>
          <w:lang w:eastAsia="zh-CN"/>
        </w:rPr>
        <w:t xml:space="preserve">) </w:t>
      </w:r>
      <w:r>
        <w:rPr>
          <w:rFonts w:eastAsia="Calibri" w:cs="Times New Roman"/>
          <w:lang w:eastAsia="zh-CN"/>
        </w:rPr>
        <w:t>issued a report titled “DOI’s Investigation into the Reclamation of Vacant NYCHA Apartments,” which focused on the public safety risks linked to the increase in NYCHA vacancies.</w:t>
      </w:r>
      <w:r w:rsidR="00645662">
        <w:rPr>
          <w:rStyle w:val="FootnoteReference"/>
          <w:rFonts w:eastAsia="Calibri" w:cs="Times New Roman"/>
          <w:lang w:eastAsia="zh-CN"/>
        </w:rPr>
        <w:footnoteReference w:id="29"/>
      </w:r>
      <w:r>
        <w:rPr>
          <w:rFonts w:eastAsia="Calibri" w:cs="Times New Roman"/>
          <w:lang w:eastAsia="zh-CN"/>
        </w:rPr>
        <w:t xml:space="preserve"> </w:t>
      </w:r>
      <w:r>
        <w:rPr>
          <w:rFonts w:eastAsia="Times New Roman" w:cs="Times New Roman"/>
          <w:color w:val="000000" w:themeColor="text1"/>
        </w:rPr>
        <w:t>For purposes of the report,</w:t>
      </w:r>
      <w:r w:rsidRPr="41A2087F">
        <w:rPr>
          <w:rFonts w:eastAsia="Times New Roman" w:cs="Times New Roman"/>
          <w:color w:val="000000" w:themeColor="text1"/>
        </w:rPr>
        <w:t xml:space="preserve"> DOI defined a vacant apartment as a unit where the tenant or tenants of record </w:t>
      </w:r>
      <w:r>
        <w:rPr>
          <w:rFonts w:eastAsia="Times New Roman" w:cs="Times New Roman"/>
          <w:color w:val="000000" w:themeColor="text1"/>
        </w:rPr>
        <w:t>vacated</w:t>
      </w:r>
      <w:r w:rsidRPr="41A2087F">
        <w:rPr>
          <w:rFonts w:eastAsia="Times New Roman" w:cs="Times New Roman"/>
          <w:color w:val="000000" w:themeColor="text1"/>
        </w:rPr>
        <w:t xml:space="preserve"> the unit and </w:t>
      </w:r>
      <w:r>
        <w:rPr>
          <w:rFonts w:eastAsia="Times New Roman" w:cs="Times New Roman"/>
          <w:color w:val="000000" w:themeColor="text1"/>
        </w:rPr>
        <w:t xml:space="preserve">is not the subject of </w:t>
      </w:r>
      <w:r w:rsidRPr="41A2087F">
        <w:rPr>
          <w:rFonts w:eastAsia="Times New Roman" w:cs="Times New Roman"/>
          <w:color w:val="000000" w:themeColor="text1"/>
        </w:rPr>
        <w:t xml:space="preserve"> a legal dispute over the right to live there.</w:t>
      </w:r>
      <w:r>
        <w:rPr>
          <w:rStyle w:val="FootnoteReference"/>
          <w:rFonts w:eastAsia="Times New Roman" w:cs="Times New Roman"/>
          <w:color w:val="000000" w:themeColor="text1"/>
        </w:rPr>
        <w:footnoteReference w:id="30"/>
      </w:r>
      <w:r w:rsidRPr="41A2087F">
        <w:rPr>
          <w:rFonts w:eastAsia="Times New Roman" w:cs="Times New Roman"/>
          <w:color w:val="000000" w:themeColor="text1"/>
        </w:rPr>
        <w:t xml:space="preserve"> </w:t>
      </w:r>
      <w:r>
        <w:rPr>
          <w:rFonts w:eastAsia="Times New Roman" w:cs="Times New Roman"/>
          <w:szCs w:val="24"/>
        </w:rPr>
        <w:t xml:space="preserve">DOI found that </w:t>
      </w:r>
      <w:r w:rsidRPr="00DC7164">
        <w:rPr>
          <w:rFonts w:eastAsia="Times New Roman" w:cs="Times New Roman"/>
          <w:szCs w:val="24"/>
        </w:rPr>
        <w:t>vacancies increased from approximately 2,840 apartments in January 2022 to 6,740 apartments as of May 2025</w:t>
      </w:r>
      <w:r w:rsidR="00711CDB">
        <w:rPr>
          <w:rFonts w:eastAsia="Times New Roman" w:cs="Times New Roman"/>
          <w:szCs w:val="24"/>
        </w:rPr>
        <w:t>,</w:t>
      </w:r>
      <w:r>
        <w:rPr>
          <w:rStyle w:val="FootnoteReference"/>
          <w:rFonts w:eastAsia="Times New Roman" w:cs="Times New Roman"/>
          <w:szCs w:val="24"/>
        </w:rPr>
        <w:footnoteReference w:id="31"/>
      </w:r>
      <w:r>
        <w:rPr>
          <w:rFonts w:eastAsia="Times New Roman" w:cs="Times New Roman"/>
          <w:szCs w:val="24"/>
        </w:rPr>
        <w:t xml:space="preserve"> while about</w:t>
      </w:r>
      <w:r w:rsidRPr="00F027DE">
        <w:rPr>
          <w:rFonts w:eastAsia="Times New Roman" w:cs="Times New Roman"/>
          <w:szCs w:val="24"/>
        </w:rPr>
        <w:t xml:space="preserve"> 165,000 applicants are on the public housing waiting list.</w:t>
      </w:r>
      <w:r>
        <w:rPr>
          <w:rStyle w:val="FootnoteReference"/>
          <w:rFonts w:eastAsia="Times New Roman" w:cs="Times New Roman"/>
          <w:szCs w:val="24"/>
        </w:rPr>
        <w:footnoteReference w:id="32"/>
      </w:r>
      <w:r w:rsidR="00645662">
        <w:rPr>
          <w:rFonts w:eastAsia="Times New Roman" w:cs="Times New Roman"/>
          <w:szCs w:val="24"/>
        </w:rPr>
        <w:t xml:space="preserve"> </w:t>
      </w:r>
      <w:r>
        <w:rPr>
          <w:rFonts w:eastAsia="Calibri" w:cs="Times New Roman"/>
          <w:lang w:eastAsia="zh-CN"/>
        </w:rPr>
        <w:t xml:space="preserve">The report </w:t>
      </w:r>
      <w:r w:rsidR="00DC7164">
        <w:rPr>
          <w:rFonts w:eastAsia="Calibri" w:cs="Times New Roman"/>
          <w:lang w:eastAsia="zh-CN"/>
        </w:rPr>
        <w:t>found that v</w:t>
      </w:r>
      <w:r w:rsidR="1DF07736" w:rsidRPr="081377DC">
        <w:rPr>
          <w:rFonts w:eastAsia="Calibri" w:cs="Times New Roman"/>
          <w:lang w:eastAsia="zh-CN"/>
        </w:rPr>
        <w:t xml:space="preserve">acancy duration has </w:t>
      </w:r>
      <w:r>
        <w:rPr>
          <w:rFonts w:eastAsia="Calibri" w:cs="Times New Roman"/>
          <w:lang w:eastAsia="zh-CN"/>
        </w:rPr>
        <w:t xml:space="preserve">also </w:t>
      </w:r>
      <w:r w:rsidR="1DF07736" w:rsidRPr="081377DC">
        <w:rPr>
          <w:rFonts w:eastAsia="Calibri" w:cs="Times New Roman"/>
          <w:lang w:eastAsia="zh-CN"/>
        </w:rPr>
        <w:t>increased over the past few years, reaching a peak of over 400 days in 2024.</w:t>
      </w:r>
      <w:r w:rsidR="71FCF21F" w:rsidRPr="081377DC">
        <w:rPr>
          <w:rStyle w:val="FootnoteReference"/>
          <w:rFonts w:eastAsia="Calibri" w:cs="Times New Roman"/>
          <w:lang w:eastAsia="zh-CN"/>
        </w:rPr>
        <w:footnoteReference w:id="33"/>
      </w:r>
      <w:r w:rsidR="1DF07736" w:rsidRPr="081377DC">
        <w:rPr>
          <w:rFonts w:eastAsia="Calibri" w:cs="Times New Roman"/>
          <w:lang w:eastAsia="zh-CN"/>
        </w:rPr>
        <w:t xml:space="preserve"> </w:t>
      </w:r>
      <w:r w:rsidR="1DF07736" w:rsidRPr="081377DC">
        <w:rPr>
          <w:rFonts w:eastAsia="Times New Roman" w:cs="Times New Roman"/>
          <w:szCs w:val="24"/>
        </w:rPr>
        <w:t>The current average vacancy duration is approximately 1 year.</w:t>
      </w:r>
      <w:r w:rsidR="71FCF21F" w:rsidRPr="081377DC">
        <w:rPr>
          <w:rStyle w:val="FootnoteReference"/>
          <w:rFonts w:eastAsia="Times New Roman" w:cs="Times New Roman"/>
          <w:szCs w:val="24"/>
        </w:rPr>
        <w:footnoteReference w:id="34"/>
      </w:r>
    </w:p>
    <w:p w14:paraId="75D9ADA8" w14:textId="3E6D7336" w:rsidR="663D5306" w:rsidRDefault="00DC7164" w:rsidP="00584B06">
      <w:pPr>
        <w:spacing w:after="0" w:line="480" w:lineRule="auto"/>
        <w:ind w:firstLine="720"/>
        <w:jc w:val="both"/>
        <w:rPr>
          <w:rFonts w:eastAsia="Times New Roman"/>
          <w:color w:val="000000" w:themeColor="text1"/>
        </w:rPr>
      </w:pPr>
      <w:r>
        <w:rPr>
          <w:rFonts w:eastAsia="Times New Roman" w:cs="Times New Roman"/>
          <w:szCs w:val="24"/>
        </w:rPr>
        <w:t xml:space="preserve"> Several factors have contributed to th</w:t>
      </w:r>
      <w:r w:rsidR="006625B6">
        <w:rPr>
          <w:rFonts w:eastAsia="Times New Roman" w:cs="Times New Roman"/>
          <w:szCs w:val="24"/>
        </w:rPr>
        <w:t>is</w:t>
      </w:r>
      <w:r>
        <w:rPr>
          <w:rFonts w:eastAsia="Times New Roman" w:cs="Times New Roman"/>
          <w:szCs w:val="24"/>
        </w:rPr>
        <w:t xml:space="preserve"> increase. Approximately </w:t>
      </w:r>
      <w:r w:rsidRPr="41A2087F">
        <w:rPr>
          <w:rFonts w:eastAsia="Calibri" w:cs="Times New Roman"/>
          <w:lang w:eastAsia="zh-CN"/>
        </w:rPr>
        <w:t>60</w:t>
      </w:r>
      <w:r>
        <w:rPr>
          <w:rFonts w:eastAsia="Calibri" w:cs="Times New Roman"/>
          <w:lang w:eastAsia="zh-CN"/>
        </w:rPr>
        <w:t>%</w:t>
      </w:r>
      <w:r w:rsidRPr="41A2087F">
        <w:rPr>
          <w:rFonts w:eastAsia="Calibri" w:cs="Times New Roman"/>
          <w:lang w:eastAsia="zh-CN"/>
        </w:rPr>
        <w:t xml:space="preserve"> of NYCHA move</w:t>
      </w:r>
      <w:r>
        <w:rPr>
          <w:rFonts w:eastAsia="Calibri" w:cs="Times New Roman"/>
          <w:lang w:eastAsia="zh-CN"/>
        </w:rPr>
        <w:t>-</w:t>
      </w:r>
      <w:r w:rsidRPr="41A2087F">
        <w:rPr>
          <w:rFonts w:eastAsia="Calibri" w:cs="Times New Roman"/>
          <w:lang w:eastAsia="zh-CN"/>
        </w:rPr>
        <w:t>ins</w:t>
      </w:r>
      <w:r w:rsidRPr="2D3AA60E">
        <w:rPr>
          <w:rFonts w:eastAsia="Calibri" w:cs="Times New Roman"/>
          <w:lang w:eastAsia="zh-CN"/>
        </w:rPr>
        <w:t xml:space="preserve"> are tenant </w:t>
      </w:r>
      <w:r w:rsidRPr="41A2087F">
        <w:rPr>
          <w:rFonts w:eastAsia="Calibri" w:cs="Times New Roman"/>
          <w:lang w:eastAsia="zh-CN"/>
        </w:rPr>
        <w:t>transfers.</w:t>
      </w:r>
      <w:r w:rsidRPr="41A2087F">
        <w:rPr>
          <w:rStyle w:val="FootnoteReference"/>
          <w:rFonts w:eastAsia="Calibri" w:cs="Times New Roman"/>
          <w:lang w:eastAsia="zh-CN"/>
        </w:rPr>
        <w:footnoteReference w:id="35"/>
      </w:r>
      <w:r>
        <w:rPr>
          <w:rFonts w:eastAsia="Calibri" w:cs="Times New Roman"/>
          <w:lang w:eastAsia="zh-CN"/>
        </w:rPr>
        <w:t xml:space="preserve"> </w:t>
      </w:r>
      <w:r w:rsidRPr="00DC7164">
        <w:rPr>
          <w:rFonts w:eastAsia="Calibri" w:cs="Times New Roman"/>
          <w:lang w:eastAsia="zh-CN"/>
        </w:rPr>
        <w:t>This situation would generate a new vacancy when an apartment is repaired and ready to be re-rented.</w:t>
      </w:r>
      <w:r>
        <w:rPr>
          <w:rFonts w:eastAsia="Calibri" w:cs="Times New Roman"/>
          <w:lang w:eastAsia="zh-CN"/>
        </w:rPr>
        <w:t xml:space="preserve"> </w:t>
      </w:r>
      <w:r w:rsidRPr="00DC7164">
        <w:rPr>
          <w:rFonts w:eastAsia="Calibri" w:cs="Times New Roman"/>
          <w:lang w:eastAsia="zh-CN"/>
        </w:rPr>
        <w:t>The passage of Local Law 66 of 2019,</w:t>
      </w:r>
      <w:r w:rsidRPr="00DC7164">
        <w:rPr>
          <w:rFonts w:eastAsia="Calibri" w:cs="Times New Roman"/>
          <w:vertAlign w:val="superscript"/>
          <w:lang w:eastAsia="zh-CN"/>
        </w:rPr>
        <w:footnoteReference w:id="36"/>
      </w:r>
      <w:r w:rsidRPr="00DC7164">
        <w:rPr>
          <w:rFonts w:eastAsia="Calibri" w:cs="Times New Roman"/>
          <w:lang w:eastAsia="zh-CN"/>
        </w:rPr>
        <w:t xml:space="preserve"> which lowered the </w:t>
      </w:r>
      <w:r w:rsidRPr="00DC7164">
        <w:rPr>
          <w:rFonts w:eastAsia="Calibri" w:cs="Times New Roman"/>
          <w:lang w:eastAsia="zh-CN"/>
        </w:rPr>
        <w:lastRenderedPageBreak/>
        <w:t>permissible lead level in paint from 1.0 mg/cm² to 0.5 mg/cm², increased the number of NYCHA apartments that tested positive by 20%.</w:t>
      </w:r>
      <w:r w:rsidRPr="00DC7164">
        <w:rPr>
          <w:rFonts w:eastAsia="Calibri" w:cs="Times New Roman"/>
          <w:vertAlign w:val="superscript"/>
          <w:lang w:eastAsia="zh-CN"/>
        </w:rPr>
        <w:footnoteReference w:id="37"/>
      </w:r>
      <w:r>
        <w:rPr>
          <w:rFonts w:eastAsia="Calibri" w:cs="Times New Roman"/>
          <w:lang w:eastAsia="zh-CN"/>
        </w:rPr>
        <w:t xml:space="preserve"> </w:t>
      </w:r>
      <w:r w:rsidRPr="00DC7164">
        <w:rPr>
          <w:rFonts w:eastAsia="Calibri" w:cs="Times New Roman"/>
          <w:lang w:eastAsia="zh-CN"/>
        </w:rPr>
        <w:t>DOI also found that approximately 80% of vacant apartments contain asbestos materials requiring abatement.</w:t>
      </w:r>
      <w:r w:rsidRPr="00DC7164">
        <w:rPr>
          <w:rFonts w:eastAsia="Calibri" w:cs="Times New Roman"/>
          <w:vertAlign w:val="superscript"/>
          <w:lang w:eastAsia="zh-CN"/>
        </w:rPr>
        <w:footnoteReference w:id="38"/>
      </w:r>
      <w:r>
        <w:rPr>
          <w:rFonts w:eastAsia="Calibri" w:cs="Times New Roman"/>
          <w:lang w:eastAsia="zh-CN"/>
        </w:rPr>
        <w:t xml:space="preserve"> Overall, funding limitations have </w:t>
      </w:r>
      <w:r w:rsidR="00CB568F">
        <w:rPr>
          <w:rFonts w:eastAsia="Calibri" w:cs="Times New Roman"/>
          <w:lang w:eastAsia="zh-CN"/>
        </w:rPr>
        <w:t>increased the length of time required to repair vacant units.</w:t>
      </w:r>
      <w:r w:rsidR="006E3CF2" w:rsidRPr="006E3CF2">
        <w:rPr>
          <w:rFonts w:eastAsia="Calibri" w:cs="Times New Roman"/>
          <w:vertAlign w:val="superscript"/>
          <w:lang w:eastAsia="zh-CN"/>
        </w:rPr>
        <w:t xml:space="preserve"> </w:t>
      </w:r>
      <w:r w:rsidR="006E3CF2" w:rsidRPr="006E3CF2">
        <w:rPr>
          <w:rFonts w:eastAsia="Calibri" w:cs="Times New Roman"/>
          <w:vertAlign w:val="superscript"/>
          <w:lang w:eastAsia="zh-CN"/>
        </w:rPr>
        <w:footnoteReference w:id="39"/>
      </w:r>
      <w:r w:rsidR="00CB568F">
        <w:rPr>
          <w:rFonts w:eastAsia="Calibri" w:cs="Times New Roman"/>
          <w:lang w:eastAsia="zh-CN"/>
        </w:rPr>
        <w:t xml:space="preserve"> </w:t>
      </w:r>
      <w:r w:rsidR="56F572F8" w:rsidRPr="41A2087F">
        <w:rPr>
          <w:rFonts w:eastAsia="Calibri" w:cs="Times New Roman"/>
          <w:lang w:eastAsia="zh-CN"/>
        </w:rPr>
        <w:t xml:space="preserve"> </w:t>
      </w:r>
    </w:p>
    <w:p w14:paraId="1F91DF58" w14:textId="07E9BDDB" w:rsidR="007E71AD" w:rsidRDefault="60C774D5" w:rsidP="081377DC">
      <w:pPr>
        <w:spacing w:after="0" w:line="480" w:lineRule="auto"/>
        <w:ind w:firstLine="720"/>
        <w:jc w:val="both"/>
        <w:rPr>
          <w:rFonts w:eastAsia="Calibri" w:cs="Times New Roman"/>
          <w:lang w:eastAsia="zh-CN"/>
        </w:rPr>
      </w:pPr>
      <w:r w:rsidRPr="081377DC">
        <w:rPr>
          <w:rFonts w:eastAsia="Calibri" w:cs="Times New Roman"/>
          <w:lang w:eastAsia="zh-CN"/>
        </w:rPr>
        <w:t>These challenges might be exacerbated by NYCHA’s historic difficulty with internal oversight and process management</w:t>
      </w:r>
      <w:r w:rsidR="76D63729" w:rsidRPr="081377DC">
        <w:rPr>
          <w:rFonts w:eastAsia="Calibri" w:cs="Times New Roman"/>
          <w:lang w:eastAsia="zh-CN"/>
        </w:rPr>
        <w:t xml:space="preserve"> regarding vacant apartments</w:t>
      </w:r>
      <w:r w:rsidRPr="081377DC">
        <w:rPr>
          <w:rFonts w:eastAsia="Calibri" w:cs="Times New Roman"/>
          <w:lang w:eastAsia="zh-CN"/>
        </w:rPr>
        <w:t>. In June 2015, the City Comptroller released an audit revealing that NYCHA had “inadequate controls…over the monitoring and tracking of its vacant apartments.”</w:t>
      </w:r>
      <w:r w:rsidR="71FCF21F" w:rsidRPr="081377DC">
        <w:rPr>
          <w:rStyle w:val="FootnoteReference"/>
          <w:rFonts w:eastAsia="Calibri" w:cs="Times New Roman"/>
          <w:lang w:eastAsia="zh-CN"/>
        </w:rPr>
        <w:footnoteReference w:id="40"/>
      </w:r>
      <w:r w:rsidRPr="081377DC">
        <w:rPr>
          <w:rFonts w:eastAsia="Calibri" w:cs="Times New Roman"/>
          <w:lang w:eastAsia="zh-CN"/>
        </w:rPr>
        <w:t xml:space="preserve"> The report found that some vacant units were vandalized or used by unauthorized individuals, while others were found to be incorrectly labeled as vacant when they were in fact occupied by transfer tenants or being used in some other capacity.</w:t>
      </w:r>
      <w:r w:rsidR="71FCF21F" w:rsidRPr="081377DC">
        <w:rPr>
          <w:rStyle w:val="FootnoteReference"/>
          <w:rFonts w:eastAsia="Calibri" w:cs="Times New Roman"/>
          <w:lang w:eastAsia="zh-CN"/>
        </w:rPr>
        <w:footnoteReference w:id="41"/>
      </w:r>
      <w:r w:rsidRPr="081377DC">
        <w:rPr>
          <w:rFonts w:eastAsia="Calibri" w:cs="Times New Roman"/>
          <w:lang w:eastAsia="zh-CN"/>
        </w:rPr>
        <w:t xml:space="preserve"> In February 2024, NYCHA’s first federal monitor found that NYCHA had mishandled an early-2022 organizational change in which it shifted responsibilities for vacant unit turnover to a newly created entity, the Operational Analysis and Contract Management (“OACM”) department, resulting in confusion and frustration from development staff.</w:t>
      </w:r>
      <w:r w:rsidR="71FCF21F" w:rsidRPr="081377DC">
        <w:rPr>
          <w:rStyle w:val="FootnoteReference"/>
          <w:rFonts w:eastAsia="Calibri" w:cs="Times New Roman"/>
          <w:lang w:eastAsia="zh-CN"/>
        </w:rPr>
        <w:footnoteReference w:id="42"/>
      </w:r>
      <w:r w:rsidRPr="081377DC">
        <w:rPr>
          <w:rFonts w:eastAsia="Calibri" w:cs="Times New Roman"/>
          <w:lang w:eastAsia="zh-CN"/>
        </w:rPr>
        <w:t xml:space="preserve"> Local development staff would begin the work “to advance the turnover of these apartments, only to have OACM </w:t>
      </w:r>
      <w:r w:rsidRPr="081377DC">
        <w:rPr>
          <w:rFonts w:eastAsia="Calibri" w:cs="Times New Roman"/>
          <w:lang w:eastAsia="zh-CN"/>
        </w:rPr>
        <w:lastRenderedPageBreak/>
        <w:t>come in to take control of an apartment and then have it sit vacant with no work occurring for months.”</w:t>
      </w:r>
      <w:r w:rsidR="71FCF21F" w:rsidRPr="081377DC">
        <w:rPr>
          <w:rStyle w:val="FootnoteReference"/>
          <w:rFonts w:eastAsia="Calibri" w:cs="Times New Roman"/>
          <w:lang w:eastAsia="zh-CN"/>
        </w:rPr>
        <w:footnoteReference w:id="43"/>
      </w:r>
    </w:p>
    <w:p w14:paraId="2C667058" w14:textId="664602BA" w:rsidR="00D265A5" w:rsidRDefault="00D265A5" w:rsidP="009C6D33">
      <w:pPr>
        <w:pStyle w:val="ListParagraph"/>
        <w:keepNext/>
        <w:numPr>
          <w:ilvl w:val="0"/>
          <w:numId w:val="13"/>
        </w:numPr>
        <w:spacing w:after="0" w:line="480" w:lineRule="auto"/>
        <w:jc w:val="both"/>
        <w:rPr>
          <w:rFonts w:ascii="Times New Roman" w:hAnsi="Times New Roman"/>
          <w:b/>
          <w:sz w:val="24"/>
          <w:szCs w:val="24"/>
        </w:rPr>
      </w:pPr>
      <w:r w:rsidRPr="00D265A5">
        <w:rPr>
          <w:rFonts w:ascii="Times New Roman" w:hAnsi="Times New Roman"/>
          <w:b/>
          <w:sz w:val="24"/>
          <w:szCs w:val="24"/>
        </w:rPr>
        <w:t>Turnover Process</w:t>
      </w:r>
    </w:p>
    <w:p w14:paraId="26E38FCF" w14:textId="6915471C" w:rsidR="00BF1DBF" w:rsidRPr="00BF1DBF" w:rsidRDefault="3260D4E3" w:rsidP="0F277EC4">
      <w:pPr>
        <w:spacing w:after="0" w:line="480" w:lineRule="auto"/>
        <w:ind w:firstLine="720"/>
        <w:jc w:val="both"/>
        <w:rPr>
          <w:rFonts w:eastAsia="Times New Roman" w:cs="Times New Roman"/>
        </w:rPr>
      </w:pPr>
      <w:r w:rsidRPr="0F277EC4">
        <w:rPr>
          <w:rFonts w:eastAsia="Times New Roman" w:cs="Times New Roman"/>
        </w:rPr>
        <w:t xml:space="preserve">Turnover refers to the process of </w:t>
      </w:r>
      <w:r w:rsidR="20C5F4D6" w:rsidRPr="0F277EC4">
        <w:rPr>
          <w:rFonts w:eastAsia="Times New Roman" w:cs="Times New Roman"/>
        </w:rPr>
        <w:t xml:space="preserve">making </w:t>
      </w:r>
      <w:r w:rsidR="4A96227C" w:rsidRPr="0F277EC4">
        <w:rPr>
          <w:rFonts w:eastAsia="Times New Roman" w:cs="Times New Roman"/>
        </w:rPr>
        <w:t xml:space="preserve">an apartment </w:t>
      </w:r>
      <w:r w:rsidR="20C5F4D6" w:rsidRPr="0F277EC4">
        <w:rPr>
          <w:rFonts w:eastAsia="Times New Roman" w:cs="Times New Roman"/>
        </w:rPr>
        <w:t>ready for occupancy.</w:t>
      </w:r>
      <w:r w:rsidR="0823A3E3" w:rsidRPr="0F277EC4">
        <w:rPr>
          <w:rFonts w:eastAsia="Times New Roman" w:cs="Times New Roman"/>
        </w:rPr>
        <w:t xml:space="preserve"> The turnover process at NYCHA is led by NYCHA’s Healthy Homes Unit, which is overseen by the Executive Vice President for Property Management Operatio</w:t>
      </w:r>
      <w:r w:rsidR="2B6DA13E" w:rsidRPr="0F277EC4">
        <w:rPr>
          <w:rFonts w:eastAsia="Times New Roman" w:cs="Times New Roman"/>
        </w:rPr>
        <w:t>ns</w:t>
      </w:r>
      <w:r w:rsidR="6BC2FDFA" w:rsidRPr="0F277EC4">
        <w:rPr>
          <w:rFonts w:eastAsia="Times New Roman" w:cs="Times New Roman"/>
        </w:rPr>
        <w:t xml:space="preserve"> (“PMO”)</w:t>
      </w:r>
      <w:r w:rsidR="2B6DA13E" w:rsidRPr="0F277EC4">
        <w:rPr>
          <w:rFonts w:eastAsia="Times New Roman" w:cs="Times New Roman"/>
        </w:rPr>
        <w:t>.</w:t>
      </w:r>
      <w:r w:rsidR="00BF1DBF" w:rsidRPr="0F277EC4">
        <w:rPr>
          <w:rStyle w:val="FootnoteReference"/>
          <w:rFonts w:eastAsia="Times New Roman" w:cs="Times New Roman"/>
        </w:rPr>
        <w:footnoteReference w:id="44"/>
      </w:r>
      <w:r w:rsidR="33D1BF53" w:rsidRPr="0F277EC4">
        <w:rPr>
          <w:rFonts w:eastAsia="Times New Roman" w:cs="Times New Roman"/>
        </w:rPr>
        <w:t xml:space="preserve"> PMO also oversees skilled-trades work</w:t>
      </w:r>
      <w:r w:rsidR="1DAD2CCC" w:rsidRPr="0F277EC4">
        <w:rPr>
          <w:rFonts w:eastAsia="Times New Roman" w:cs="Times New Roman"/>
        </w:rPr>
        <w:t xml:space="preserve"> that</w:t>
      </w:r>
      <w:r w:rsidR="2433D076" w:rsidRPr="0F277EC4">
        <w:rPr>
          <w:rFonts w:eastAsia="Times New Roman" w:cs="Times New Roman"/>
        </w:rPr>
        <w:t xml:space="preserve"> is </w:t>
      </w:r>
      <w:r w:rsidR="33D1BF53" w:rsidRPr="0F277EC4">
        <w:rPr>
          <w:rFonts w:eastAsia="Times New Roman" w:cs="Times New Roman"/>
        </w:rPr>
        <w:t xml:space="preserve">involved in </w:t>
      </w:r>
      <w:r w:rsidR="23475E6F" w:rsidRPr="0F277EC4">
        <w:rPr>
          <w:rFonts w:eastAsia="Times New Roman" w:cs="Times New Roman"/>
        </w:rPr>
        <w:t xml:space="preserve">apartment </w:t>
      </w:r>
      <w:r w:rsidR="33D1BF53" w:rsidRPr="0F277EC4">
        <w:rPr>
          <w:rFonts w:eastAsia="Times New Roman" w:cs="Times New Roman"/>
        </w:rPr>
        <w:t>turnover.</w:t>
      </w:r>
      <w:r w:rsidR="00BF1DBF" w:rsidRPr="0F277EC4">
        <w:rPr>
          <w:rStyle w:val="FootnoteReference"/>
          <w:rFonts w:eastAsia="Times New Roman" w:cs="Times New Roman"/>
        </w:rPr>
        <w:footnoteReference w:id="45"/>
      </w:r>
      <w:r w:rsidR="57328E18" w:rsidRPr="0F277EC4">
        <w:rPr>
          <w:rFonts w:eastAsia="Times New Roman" w:cs="Times New Roman"/>
        </w:rPr>
        <w:t xml:space="preserve"> In some cases, turnover is handled by vendors contracted by NYCHA, or by NYCHA’s Technical Services Department.</w:t>
      </w:r>
      <w:r w:rsidR="00BF1DBF" w:rsidRPr="0F277EC4">
        <w:rPr>
          <w:rStyle w:val="FootnoteReference"/>
          <w:rFonts w:eastAsia="Times New Roman" w:cs="Times New Roman"/>
        </w:rPr>
        <w:footnoteReference w:id="46"/>
      </w:r>
    </w:p>
    <w:p w14:paraId="65F51A79" w14:textId="059D89DE" w:rsidR="653AD39C" w:rsidRDefault="653AD39C" w:rsidP="081377DC">
      <w:pPr>
        <w:spacing w:after="0" w:line="480" w:lineRule="auto"/>
        <w:ind w:firstLine="720"/>
        <w:jc w:val="both"/>
        <w:rPr>
          <w:rFonts w:eastAsia="Times New Roman" w:cs="Times New Roman"/>
          <w:szCs w:val="24"/>
        </w:rPr>
      </w:pPr>
      <w:r w:rsidRPr="41A2087F">
        <w:rPr>
          <w:rFonts w:eastAsia="Times New Roman" w:cs="Times New Roman"/>
        </w:rPr>
        <w:t>A major element of the turnover process is lead and asbestos testing and abatement to ensure compliance with local, state, and federal laws</w:t>
      </w:r>
      <w:r w:rsidR="10609932" w:rsidRPr="41A2087F">
        <w:rPr>
          <w:rFonts w:eastAsia="Times New Roman" w:cs="Times New Roman"/>
        </w:rPr>
        <w:t>.</w:t>
      </w:r>
      <w:r w:rsidRPr="41A2087F">
        <w:rPr>
          <w:rStyle w:val="FootnoteReference"/>
          <w:rFonts w:eastAsia="Times New Roman" w:cs="Times New Roman"/>
        </w:rPr>
        <w:footnoteReference w:id="47"/>
      </w:r>
      <w:r w:rsidR="60F18AA0" w:rsidRPr="41A2087F">
        <w:rPr>
          <w:rFonts w:eastAsia="Times New Roman" w:cs="Times New Roman"/>
        </w:rPr>
        <w:t xml:space="preserve"> </w:t>
      </w:r>
      <w:r w:rsidR="28FEEBDF" w:rsidRPr="41A2087F">
        <w:rPr>
          <w:rFonts w:eastAsia="Times New Roman" w:cs="Times New Roman"/>
        </w:rPr>
        <w:t>Such testing and abatement work is typically completed by vendors and overseen by the Healthy Homes Unit.</w:t>
      </w:r>
      <w:r w:rsidRPr="41A2087F">
        <w:rPr>
          <w:rStyle w:val="FootnoteReference"/>
          <w:rFonts w:eastAsia="Times New Roman" w:cs="Times New Roman"/>
        </w:rPr>
        <w:footnoteReference w:id="48"/>
      </w:r>
      <w:r w:rsidR="28FEEBDF" w:rsidRPr="41A2087F">
        <w:rPr>
          <w:rFonts w:eastAsia="Times New Roman" w:cs="Times New Roman"/>
        </w:rPr>
        <w:t xml:space="preserve"> </w:t>
      </w:r>
      <w:r w:rsidR="60F18AA0" w:rsidRPr="41A2087F">
        <w:rPr>
          <w:rFonts w:eastAsia="Times New Roman" w:cs="Times New Roman"/>
        </w:rPr>
        <w:t>Th</w:t>
      </w:r>
      <w:r w:rsidR="783DB907" w:rsidRPr="41A2087F">
        <w:rPr>
          <w:rFonts w:eastAsia="Times New Roman" w:cs="Times New Roman"/>
        </w:rPr>
        <w:t>e lead</w:t>
      </w:r>
      <w:r w:rsidR="60F18AA0" w:rsidRPr="41A2087F">
        <w:rPr>
          <w:rFonts w:eastAsia="Times New Roman" w:cs="Times New Roman"/>
        </w:rPr>
        <w:t xml:space="preserve"> testing and abatement process</w:t>
      </w:r>
      <w:r w:rsidR="3993ED29" w:rsidRPr="41A2087F">
        <w:rPr>
          <w:rFonts w:eastAsia="Times New Roman" w:cs="Times New Roman"/>
        </w:rPr>
        <w:t xml:space="preserve"> takes </w:t>
      </w:r>
      <w:r w:rsidR="5D87317E" w:rsidRPr="41A2087F">
        <w:rPr>
          <w:rFonts w:eastAsia="Times New Roman" w:cs="Times New Roman"/>
        </w:rPr>
        <w:t>approximately</w:t>
      </w:r>
      <w:r w:rsidR="3993ED29" w:rsidRPr="41A2087F">
        <w:rPr>
          <w:rFonts w:eastAsia="Times New Roman" w:cs="Times New Roman"/>
        </w:rPr>
        <w:t xml:space="preserve"> 4 to 6 months to complete, on average.</w:t>
      </w:r>
      <w:r w:rsidRPr="41A2087F">
        <w:rPr>
          <w:rStyle w:val="FootnoteReference"/>
          <w:rFonts w:eastAsia="Times New Roman" w:cs="Times New Roman"/>
        </w:rPr>
        <w:footnoteReference w:id="49"/>
      </w:r>
      <w:r w:rsidR="3993ED29" w:rsidRPr="41A2087F">
        <w:rPr>
          <w:rFonts w:eastAsia="Times New Roman" w:cs="Times New Roman"/>
        </w:rPr>
        <w:t xml:space="preserve"> Lead testing and abatement cost approximately </w:t>
      </w:r>
      <w:r w:rsidR="60F18AA0" w:rsidRPr="41A2087F">
        <w:rPr>
          <w:rFonts w:eastAsia="Times New Roman" w:cs="Times New Roman"/>
        </w:rPr>
        <w:t xml:space="preserve">$17,000 </w:t>
      </w:r>
      <w:r w:rsidR="526D4840" w:rsidRPr="41A2087F">
        <w:rPr>
          <w:rFonts w:eastAsia="Times New Roman" w:cs="Times New Roman"/>
        </w:rPr>
        <w:t>per apartment, and asbestos testing and abatement cost approximately $25,000 per apartment</w:t>
      </w:r>
      <w:r w:rsidR="60F18AA0" w:rsidRPr="41A2087F">
        <w:rPr>
          <w:rFonts w:eastAsia="Times New Roman" w:cs="Times New Roman"/>
        </w:rPr>
        <w:t>.</w:t>
      </w:r>
      <w:r w:rsidRPr="41A2087F">
        <w:rPr>
          <w:rStyle w:val="FootnoteReference"/>
          <w:rFonts w:eastAsia="Times New Roman" w:cs="Times New Roman"/>
        </w:rPr>
        <w:footnoteReference w:id="50"/>
      </w:r>
    </w:p>
    <w:p w14:paraId="03BA43C7" w14:textId="5F7CCEED" w:rsidR="7FEADF51" w:rsidRDefault="7FEADF51" w:rsidP="081377DC">
      <w:pPr>
        <w:spacing w:after="0" w:line="480" w:lineRule="auto"/>
        <w:ind w:firstLine="720"/>
        <w:jc w:val="both"/>
        <w:rPr>
          <w:rFonts w:eastAsia="Times New Roman" w:cs="Times New Roman"/>
          <w:szCs w:val="24"/>
        </w:rPr>
      </w:pPr>
      <w:r w:rsidRPr="41A2087F">
        <w:rPr>
          <w:rFonts w:eastAsia="Times New Roman" w:cs="Times New Roman"/>
        </w:rPr>
        <w:t xml:space="preserve">General renovations </w:t>
      </w:r>
      <w:r w:rsidR="4E5DBF61" w:rsidRPr="41A2087F">
        <w:rPr>
          <w:rFonts w:eastAsia="Times New Roman" w:cs="Times New Roman"/>
        </w:rPr>
        <w:t xml:space="preserve">to address wear and tear of the apartment </w:t>
      </w:r>
      <w:r w:rsidRPr="41A2087F">
        <w:rPr>
          <w:rFonts w:eastAsia="Times New Roman" w:cs="Times New Roman"/>
        </w:rPr>
        <w:t xml:space="preserve">are also completed as part of the turnover process. </w:t>
      </w:r>
      <w:r w:rsidR="4E84F654" w:rsidRPr="41A2087F">
        <w:rPr>
          <w:rFonts w:eastAsia="Times New Roman" w:cs="Times New Roman"/>
        </w:rPr>
        <w:t>This can include plastering, painting, tiling, and new carpentry.</w:t>
      </w:r>
      <w:r w:rsidRPr="41A2087F">
        <w:rPr>
          <w:rStyle w:val="FootnoteReference"/>
          <w:rFonts w:eastAsia="Times New Roman" w:cs="Times New Roman"/>
        </w:rPr>
        <w:footnoteReference w:id="51"/>
      </w:r>
      <w:r w:rsidR="4E84F654" w:rsidRPr="41A2087F">
        <w:rPr>
          <w:rFonts w:eastAsia="Times New Roman" w:cs="Times New Roman"/>
        </w:rPr>
        <w:t xml:space="preserve"> </w:t>
      </w:r>
      <w:r w:rsidR="5B786518" w:rsidRPr="41A2087F">
        <w:rPr>
          <w:rFonts w:eastAsia="Times New Roman" w:cs="Times New Roman"/>
        </w:rPr>
        <w:t xml:space="preserve">This work is completed </w:t>
      </w:r>
      <w:r w:rsidR="26CD7BE9" w:rsidRPr="41A2087F">
        <w:rPr>
          <w:rFonts w:eastAsia="Times New Roman" w:cs="Times New Roman"/>
        </w:rPr>
        <w:t>primarily</w:t>
      </w:r>
      <w:r w:rsidR="5B786518" w:rsidRPr="41A2087F">
        <w:rPr>
          <w:rFonts w:eastAsia="Times New Roman" w:cs="Times New Roman"/>
        </w:rPr>
        <w:t xml:space="preserve"> </w:t>
      </w:r>
      <w:r w:rsidR="04E89F91" w:rsidRPr="41A2087F">
        <w:rPr>
          <w:rFonts w:eastAsia="Times New Roman" w:cs="Times New Roman"/>
        </w:rPr>
        <w:t xml:space="preserve">during overtime assignments to preserve capacity for work orders </w:t>
      </w:r>
      <w:r w:rsidR="04E89F91" w:rsidRPr="41A2087F">
        <w:rPr>
          <w:rFonts w:eastAsia="Times New Roman" w:cs="Times New Roman"/>
        </w:rPr>
        <w:lastRenderedPageBreak/>
        <w:t>connected to occupied apartments.</w:t>
      </w:r>
      <w:r w:rsidRPr="41A2087F">
        <w:rPr>
          <w:rStyle w:val="FootnoteReference"/>
          <w:rFonts w:eastAsia="Times New Roman" w:cs="Times New Roman"/>
        </w:rPr>
        <w:footnoteReference w:id="52"/>
      </w:r>
      <w:r w:rsidR="04E89F91" w:rsidRPr="41A2087F">
        <w:rPr>
          <w:rFonts w:eastAsia="Times New Roman" w:cs="Times New Roman"/>
        </w:rPr>
        <w:t xml:space="preserve"> </w:t>
      </w:r>
      <w:r w:rsidRPr="41A2087F">
        <w:rPr>
          <w:rFonts w:eastAsia="Times New Roman" w:cs="Times New Roman"/>
        </w:rPr>
        <w:t>On average, general renovations cost approximately $10,000 per apartment.</w:t>
      </w:r>
      <w:r w:rsidRPr="41A2087F">
        <w:rPr>
          <w:rStyle w:val="FootnoteReference"/>
          <w:rFonts w:eastAsia="Times New Roman" w:cs="Times New Roman"/>
        </w:rPr>
        <w:footnoteReference w:id="53"/>
      </w:r>
    </w:p>
    <w:p w14:paraId="6BBF47BC" w14:textId="5E7ABA11" w:rsidR="00D265A5" w:rsidRDefault="00D265A5" w:rsidP="00D265A5">
      <w:pPr>
        <w:pStyle w:val="ListParagraph"/>
        <w:numPr>
          <w:ilvl w:val="0"/>
          <w:numId w:val="13"/>
        </w:numPr>
        <w:spacing w:after="0" w:line="480" w:lineRule="auto"/>
        <w:jc w:val="both"/>
        <w:rPr>
          <w:rFonts w:ascii="Times New Roman" w:hAnsi="Times New Roman"/>
          <w:b/>
          <w:sz w:val="24"/>
          <w:szCs w:val="24"/>
        </w:rPr>
      </w:pPr>
      <w:r w:rsidRPr="081377DC">
        <w:rPr>
          <w:rFonts w:ascii="Times New Roman" w:hAnsi="Times New Roman"/>
          <w:b/>
          <w:bCs/>
          <w:sz w:val="24"/>
          <w:szCs w:val="24"/>
        </w:rPr>
        <w:t>Reclamation Process</w:t>
      </w:r>
    </w:p>
    <w:p w14:paraId="40929030" w14:textId="26828339" w:rsidR="00BF1DBF" w:rsidRPr="00BF1DBF" w:rsidRDefault="13FAB50D" w:rsidP="0F277EC4">
      <w:pPr>
        <w:spacing w:after="0" w:line="480" w:lineRule="auto"/>
        <w:ind w:firstLine="720"/>
        <w:jc w:val="both"/>
        <w:rPr>
          <w:rFonts w:eastAsia="Times New Roman" w:cs="Times New Roman"/>
        </w:rPr>
      </w:pPr>
      <w:r w:rsidRPr="0F277EC4">
        <w:rPr>
          <w:rFonts w:eastAsia="Times New Roman" w:cs="Times New Roman"/>
        </w:rPr>
        <w:t xml:space="preserve">Reclamation refers to the process of </w:t>
      </w:r>
      <w:r w:rsidR="2A2D3DA7" w:rsidRPr="0F277EC4">
        <w:rPr>
          <w:rFonts w:eastAsia="Times New Roman" w:cs="Times New Roman"/>
        </w:rPr>
        <w:t xml:space="preserve">removing </w:t>
      </w:r>
      <w:r w:rsidR="5B6D1E8D" w:rsidRPr="0F277EC4">
        <w:rPr>
          <w:rFonts w:eastAsia="Times New Roman" w:cs="Times New Roman"/>
        </w:rPr>
        <w:t xml:space="preserve">an </w:t>
      </w:r>
      <w:r w:rsidR="2A2D3DA7" w:rsidRPr="0F277EC4">
        <w:rPr>
          <w:rFonts w:eastAsia="Times New Roman" w:cs="Times New Roman"/>
        </w:rPr>
        <w:t xml:space="preserve">unauthorized occupant from </w:t>
      </w:r>
      <w:r w:rsidR="218E4F23" w:rsidRPr="0F277EC4">
        <w:rPr>
          <w:rFonts w:eastAsia="Times New Roman" w:cs="Times New Roman"/>
        </w:rPr>
        <w:t xml:space="preserve">a </w:t>
      </w:r>
      <w:r w:rsidR="2A2D3DA7" w:rsidRPr="0F277EC4">
        <w:rPr>
          <w:rFonts w:eastAsia="Times New Roman" w:cs="Times New Roman"/>
        </w:rPr>
        <w:t>NYCHA apartment.</w:t>
      </w:r>
      <w:r w:rsidR="00BF1DBF" w:rsidRPr="0F277EC4">
        <w:rPr>
          <w:rStyle w:val="FootnoteReference"/>
          <w:rFonts w:eastAsia="Times New Roman" w:cs="Times New Roman"/>
        </w:rPr>
        <w:footnoteReference w:id="54"/>
      </w:r>
      <w:r w:rsidR="133875FD" w:rsidRPr="0F277EC4">
        <w:rPr>
          <w:rFonts w:eastAsia="Times New Roman" w:cs="Times New Roman"/>
        </w:rPr>
        <w:t xml:space="preserve"> Reclamation efforts are led by the Housing Litigation Division (“HLD”) of NYCHA’s Law Department.</w:t>
      </w:r>
      <w:r w:rsidR="00BF1DBF" w:rsidRPr="0F277EC4">
        <w:rPr>
          <w:rStyle w:val="FootnoteReference"/>
          <w:rFonts w:eastAsia="Times New Roman" w:cs="Times New Roman"/>
        </w:rPr>
        <w:footnoteReference w:id="55"/>
      </w:r>
      <w:r w:rsidR="625F37BF" w:rsidRPr="0F277EC4">
        <w:rPr>
          <w:rFonts w:eastAsia="Times New Roman" w:cs="Times New Roman"/>
        </w:rPr>
        <w:t xml:space="preserve"> HLD oversees NYCHA’s </w:t>
      </w:r>
      <w:r w:rsidR="7D795BEB" w:rsidRPr="41A2087F">
        <w:rPr>
          <w:rFonts w:eastAsia="Times New Roman" w:cs="Times New Roman"/>
        </w:rPr>
        <w:t>investigation</w:t>
      </w:r>
      <w:r w:rsidR="625F37BF" w:rsidRPr="0F277EC4">
        <w:rPr>
          <w:rFonts w:eastAsia="Times New Roman" w:cs="Times New Roman"/>
        </w:rPr>
        <w:t xml:space="preserve"> and litigation of apartment occupancy disputes and coordinates with </w:t>
      </w:r>
      <w:r w:rsidR="007174DD" w:rsidRPr="0F277EC4">
        <w:rPr>
          <w:rFonts w:eastAsia="Times New Roman" w:cs="Times New Roman"/>
        </w:rPr>
        <w:t xml:space="preserve">DOI </w:t>
      </w:r>
      <w:r w:rsidR="007174DD">
        <w:rPr>
          <w:rFonts w:eastAsia="Times New Roman" w:cs="Times New Roman"/>
        </w:rPr>
        <w:t xml:space="preserve">and </w:t>
      </w:r>
      <w:r w:rsidR="625F37BF" w:rsidRPr="0F277EC4">
        <w:rPr>
          <w:rFonts w:eastAsia="Times New Roman" w:cs="Times New Roman"/>
        </w:rPr>
        <w:t>NYPD’s Housing Bureau Reclamation Unit</w:t>
      </w:r>
      <w:r w:rsidR="34892A2D" w:rsidRPr="41A2087F">
        <w:rPr>
          <w:rFonts w:eastAsia="Times New Roman" w:cs="Times New Roman"/>
        </w:rPr>
        <w:t xml:space="preserve">, </w:t>
      </w:r>
      <w:r w:rsidR="7314D002" w:rsidRPr="41A2087F">
        <w:rPr>
          <w:rFonts w:eastAsia="Times New Roman" w:cs="Times New Roman"/>
        </w:rPr>
        <w:t>which was created in 2023 to regain control of NYCHA apartments</w:t>
      </w:r>
      <w:r w:rsidR="625F37BF" w:rsidRPr="0F277EC4">
        <w:rPr>
          <w:rFonts w:eastAsia="Times New Roman" w:cs="Times New Roman"/>
        </w:rPr>
        <w:t>.</w:t>
      </w:r>
      <w:r w:rsidR="00BF1DBF" w:rsidRPr="0F277EC4">
        <w:rPr>
          <w:rStyle w:val="FootnoteReference"/>
          <w:rFonts w:eastAsia="Times New Roman" w:cs="Times New Roman"/>
        </w:rPr>
        <w:footnoteReference w:id="56"/>
      </w:r>
      <w:r w:rsidR="21C969ED" w:rsidRPr="0F277EC4">
        <w:rPr>
          <w:rFonts w:eastAsia="Times New Roman" w:cs="Times New Roman"/>
        </w:rPr>
        <w:t xml:space="preserve"> </w:t>
      </w:r>
      <w:r w:rsidR="009631D0">
        <w:rPr>
          <w:rFonts w:eastAsia="Times New Roman" w:cs="Times New Roman"/>
        </w:rPr>
        <w:t>It is additionally worth noting that, until September 2024</w:t>
      </w:r>
      <w:r w:rsidR="21C969ED" w:rsidRPr="0F277EC4">
        <w:rPr>
          <w:rFonts w:eastAsia="Times New Roman" w:cs="Times New Roman"/>
        </w:rPr>
        <w:t xml:space="preserve">, NYCHA did not have a formalized, uniform procedure for addressing </w:t>
      </w:r>
      <w:r w:rsidR="009631D0">
        <w:rPr>
          <w:rFonts w:eastAsia="Times New Roman" w:cs="Times New Roman"/>
        </w:rPr>
        <w:t xml:space="preserve">incidents of trespassing </w:t>
      </w:r>
      <w:r w:rsidR="21C969ED" w:rsidRPr="0F277EC4">
        <w:rPr>
          <w:rFonts w:eastAsia="Times New Roman" w:cs="Times New Roman"/>
        </w:rPr>
        <w:t xml:space="preserve"> and </w:t>
      </w:r>
      <w:r w:rsidR="009631D0">
        <w:rPr>
          <w:rFonts w:eastAsia="Times New Roman" w:cs="Times New Roman"/>
        </w:rPr>
        <w:t xml:space="preserve">generally </w:t>
      </w:r>
      <w:r w:rsidR="21C969ED" w:rsidRPr="0F277EC4">
        <w:rPr>
          <w:rFonts w:eastAsia="Times New Roman" w:cs="Times New Roman"/>
        </w:rPr>
        <w:t xml:space="preserve">relied on individual staff calling NYPD to report </w:t>
      </w:r>
      <w:r w:rsidR="009631D0">
        <w:rPr>
          <w:rFonts w:eastAsia="Times New Roman" w:cs="Times New Roman"/>
        </w:rPr>
        <w:t xml:space="preserve">such </w:t>
      </w:r>
      <w:r w:rsidR="21C969ED" w:rsidRPr="0F277EC4">
        <w:rPr>
          <w:rFonts w:eastAsia="Times New Roman" w:cs="Times New Roman"/>
        </w:rPr>
        <w:t>incidents.</w:t>
      </w:r>
      <w:r w:rsidR="00BF1DBF" w:rsidRPr="0F277EC4">
        <w:rPr>
          <w:rStyle w:val="FootnoteReference"/>
          <w:rFonts w:eastAsia="Times New Roman" w:cs="Times New Roman"/>
        </w:rPr>
        <w:footnoteReference w:id="57"/>
      </w:r>
      <w:r w:rsidR="0F8F1AA8" w:rsidRPr="0F277EC4">
        <w:rPr>
          <w:rFonts w:eastAsia="Times New Roman" w:cs="Times New Roman"/>
        </w:rPr>
        <w:t xml:space="preserve"> </w:t>
      </w:r>
      <w:r w:rsidR="007174DD">
        <w:rPr>
          <w:rFonts w:eastAsia="Times New Roman" w:cs="Times New Roman"/>
        </w:rPr>
        <w:t>Since</w:t>
      </w:r>
      <w:r w:rsidR="007174DD" w:rsidRPr="0F277EC4">
        <w:rPr>
          <w:rFonts w:eastAsia="Times New Roman" w:cs="Times New Roman"/>
        </w:rPr>
        <w:t xml:space="preserve"> </w:t>
      </w:r>
      <w:r w:rsidR="009631D0">
        <w:rPr>
          <w:rFonts w:eastAsia="Times New Roman" w:cs="Times New Roman"/>
        </w:rPr>
        <w:t>then</w:t>
      </w:r>
      <w:r w:rsidR="0F8F1AA8" w:rsidRPr="0F277EC4">
        <w:rPr>
          <w:rFonts w:eastAsia="Times New Roman" w:cs="Times New Roman"/>
        </w:rPr>
        <w:t xml:space="preserve">, NYCHA’s policy </w:t>
      </w:r>
      <w:r w:rsidR="007174DD">
        <w:rPr>
          <w:rFonts w:eastAsia="Times New Roman" w:cs="Times New Roman"/>
        </w:rPr>
        <w:t>ha</w:t>
      </w:r>
      <w:r w:rsidR="0F8F1AA8" w:rsidRPr="0F277EC4">
        <w:rPr>
          <w:rFonts w:eastAsia="Times New Roman" w:cs="Times New Roman"/>
        </w:rPr>
        <w:t>s</w:t>
      </w:r>
      <w:r w:rsidR="007174DD">
        <w:rPr>
          <w:rFonts w:eastAsia="Times New Roman" w:cs="Times New Roman"/>
        </w:rPr>
        <w:t xml:space="preserve"> been</w:t>
      </w:r>
      <w:r w:rsidR="0F8F1AA8" w:rsidRPr="0F277EC4">
        <w:rPr>
          <w:rFonts w:eastAsia="Times New Roman" w:cs="Times New Roman"/>
        </w:rPr>
        <w:t xml:space="preserve"> to call NYPD only in response to trespassing where there is a perceived imminent threat to public safety.</w:t>
      </w:r>
      <w:r w:rsidR="00BF1DBF" w:rsidRPr="0F277EC4">
        <w:rPr>
          <w:rStyle w:val="FootnoteReference"/>
          <w:rFonts w:eastAsia="Times New Roman" w:cs="Times New Roman"/>
        </w:rPr>
        <w:footnoteReference w:id="58"/>
      </w:r>
      <w:r w:rsidR="0416EDC3" w:rsidRPr="0F277EC4">
        <w:rPr>
          <w:rFonts w:eastAsia="Times New Roman" w:cs="Times New Roman"/>
        </w:rPr>
        <w:t xml:space="preserve"> NYCHA’s policy also includes guidelines for reporting and documenting trespassing incidents.</w:t>
      </w:r>
      <w:r w:rsidR="00BF1DBF" w:rsidRPr="0F277EC4">
        <w:rPr>
          <w:rStyle w:val="FootnoteReference"/>
          <w:rFonts w:eastAsia="Times New Roman" w:cs="Times New Roman"/>
        </w:rPr>
        <w:footnoteReference w:id="59"/>
      </w:r>
    </w:p>
    <w:p w14:paraId="6248003E" w14:textId="742D6508" w:rsidR="00BF1DBF" w:rsidRPr="00BF1DBF" w:rsidRDefault="208FF129" w:rsidP="081377DC">
      <w:pPr>
        <w:spacing w:after="0" w:line="480" w:lineRule="auto"/>
        <w:ind w:firstLine="720"/>
        <w:jc w:val="both"/>
        <w:rPr>
          <w:rFonts w:eastAsia="Times New Roman" w:cs="Times New Roman"/>
          <w:szCs w:val="24"/>
        </w:rPr>
      </w:pPr>
      <w:r w:rsidRPr="41A2087F">
        <w:rPr>
          <w:rFonts w:eastAsia="Times New Roman" w:cs="Times New Roman"/>
        </w:rPr>
        <w:t>Reclamation includes three phases: (1) report, (2) investigation, and (3) reclamation.</w:t>
      </w:r>
      <w:r w:rsidR="00BF1DBF" w:rsidRPr="41A2087F">
        <w:rPr>
          <w:rStyle w:val="FootnoteReference"/>
          <w:rFonts w:eastAsia="Times New Roman" w:cs="Times New Roman"/>
        </w:rPr>
        <w:footnoteReference w:id="60"/>
      </w:r>
      <w:r w:rsidRPr="41A2087F">
        <w:rPr>
          <w:rFonts w:eastAsia="Times New Roman" w:cs="Times New Roman"/>
        </w:rPr>
        <w:t xml:space="preserve"> First, someone—typically NYCHA staff, DOI, or NYPD—will report a suspected unauthorized occupan</w:t>
      </w:r>
      <w:r w:rsidR="081B716D" w:rsidRPr="41A2087F">
        <w:rPr>
          <w:rFonts w:eastAsia="Times New Roman" w:cs="Times New Roman"/>
        </w:rPr>
        <w:t>t</w:t>
      </w:r>
      <w:r w:rsidRPr="41A2087F">
        <w:rPr>
          <w:rFonts w:eastAsia="Times New Roman" w:cs="Times New Roman"/>
        </w:rPr>
        <w:t xml:space="preserve"> to HLD.</w:t>
      </w:r>
      <w:r w:rsidR="00BF1DBF" w:rsidRPr="41A2087F">
        <w:rPr>
          <w:rStyle w:val="FootnoteReference"/>
          <w:rFonts w:eastAsia="Times New Roman" w:cs="Times New Roman"/>
        </w:rPr>
        <w:footnoteReference w:id="61"/>
      </w:r>
      <w:r w:rsidRPr="41A2087F">
        <w:rPr>
          <w:rFonts w:eastAsia="Times New Roman" w:cs="Times New Roman"/>
        </w:rPr>
        <w:t xml:space="preserve"> S</w:t>
      </w:r>
      <w:r w:rsidR="23C84E9F" w:rsidRPr="41A2087F">
        <w:rPr>
          <w:rFonts w:eastAsia="Times New Roman" w:cs="Times New Roman"/>
        </w:rPr>
        <w:t xml:space="preserve">econd, HLD will investigate the legal rights of the occupant. </w:t>
      </w:r>
      <w:r w:rsidR="6413FE1C" w:rsidRPr="41A2087F">
        <w:rPr>
          <w:rFonts w:eastAsia="Times New Roman" w:cs="Times New Roman"/>
        </w:rPr>
        <w:t xml:space="preserve">Such investigation may include outreach to the </w:t>
      </w:r>
      <w:r w:rsidR="43821842" w:rsidRPr="41A2087F">
        <w:rPr>
          <w:rFonts w:eastAsia="Times New Roman" w:cs="Times New Roman"/>
        </w:rPr>
        <w:t xml:space="preserve">tenant of record, next of kin, and any other relevant </w:t>
      </w:r>
      <w:r w:rsidR="3FED9F67" w:rsidRPr="41A2087F">
        <w:rPr>
          <w:rFonts w:eastAsia="Times New Roman" w:cs="Times New Roman"/>
        </w:rPr>
        <w:lastRenderedPageBreak/>
        <w:t>individuals</w:t>
      </w:r>
      <w:r w:rsidR="43821842" w:rsidRPr="41A2087F">
        <w:rPr>
          <w:rFonts w:eastAsia="Times New Roman" w:cs="Times New Roman"/>
        </w:rPr>
        <w:t>.</w:t>
      </w:r>
      <w:r w:rsidR="00BF1DBF" w:rsidRPr="41A2087F">
        <w:rPr>
          <w:rStyle w:val="FootnoteReference"/>
          <w:rFonts w:eastAsia="Times New Roman" w:cs="Times New Roman"/>
        </w:rPr>
        <w:footnoteReference w:id="62"/>
      </w:r>
      <w:r w:rsidR="67DB4A61" w:rsidRPr="41A2087F">
        <w:rPr>
          <w:rFonts w:eastAsia="Times New Roman" w:cs="Times New Roman"/>
        </w:rPr>
        <w:t xml:space="preserve"> It may also include litigation, where necessary.</w:t>
      </w:r>
      <w:r w:rsidR="00BF1DBF" w:rsidRPr="41A2087F">
        <w:rPr>
          <w:rStyle w:val="FootnoteReference"/>
          <w:rFonts w:eastAsia="Times New Roman" w:cs="Times New Roman"/>
        </w:rPr>
        <w:footnoteReference w:id="63"/>
      </w:r>
      <w:r w:rsidR="67DB4A61" w:rsidRPr="41A2087F">
        <w:rPr>
          <w:rFonts w:eastAsia="Times New Roman" w:cs="Times New Roman"/>
        </w:rPr>
        <w:t xml:space="preserve"> Third, if the occupant is determined to lack occupancy rights, HLD authorizes NYPD or DOI to physically recover the apartment by entering the </w:t>
      </w:r>
      <w:r w:rsidR="2360C484" w:rsidRPr="41A2087F">
        <w:rPr>
          <w:rFonts w:eastAsia="Times New Roman" w:cs="Times New Roman"/>
        </w:rPr>
        <w:t>apartment, arresting the occupant if appropriate, and escorting the occupant out of the apartment.</w:t>
      </w:r>
      <w:r w:rsidR="00BF1DBF" w:rsidRPr="41A2087F">
        <w:rPr>
          <w:rStyle w:val="FootnoteReference"/>
          <w:rFonts w:eastAsia="Times New Roman" w:cs="Times New Roman"/>
        </w:rPr>
        <w:footnoteReference w:id="64"/>
      </w:r>
      <w:r w:rsidR="2360C484" w:rsidRPr="41A2087F">
        <w:rPr>
          <w:rFonts w:eastAsia="Times New Roman" w:cs="Times New Roman"/>
        </w:rPr>
        <w:t xml:space="preserve"> Subsequently, NYCHA will secure the unit.</w:t>
      </w:r>
      <w:r w:rsidR="00BF1DBF" w:rsidRPr="41A2087F">
        <w:rPr>
          <w:rStyle w:val="FootnoteReference"/>
          <w:rFonts w:eastAsia="Times New Roman" w:cs="Times New Roman"/>
        </w:rPr>
        <w:footnoteReference w:id="65"/>
      </w:r>
    </w:p>
    <w:p w14:paraId="78CE399E" w14:textId="6FDB5EF7" w:rsidR="00CB568F" w:rsidRDefault="07FEEAC3" w:rsidP="00CB568F">
      <w:pPr>
        <w:spacing w:after="0" w:line="480" w:lineRule="auto"/>
        <w:jc w:val="both"/>
        <w:rPr>
          <w:rFonts w:eastAsia="Times New Roman" w:cs="Times New Roman"/>
          <w:szCs w:val="24"/>
        </w:rPr>
      </w:pPr>
      <w:r w:rsidRPr="41A2087F">
        <w:rPr>
          <w:rFonts w:eastAsia="Times New Roman" w:cs="Times New Roman"/>
        </w:rPr>
        <w:t>For apartments that are designated by NYCHA as vacant, the reclamation process is relatively quick.</w:t>
      </w:r>
      <w:r w:rsidR="00BF1DBF" w:rsidRPr="41A2087F">
        <w:rPr>
          <w:rStyle w:val="FootnoteReference"/>
          <w:rFonts w:eastAsia="Times New Roman" w:cs="Times New Roman"/>
        </w:rPr>
        <w:footnoteReference w:id="66"/>
      </w:r>
      <w:r w:rsidRPr="41A2087F">
        <w:rPr>
          <w:rFonts w:eastAsia="Times New Roman" w:cs="Times New Roman"/>
        </w:rPr>
        <w:t xml:space="preserve"> As soon as a report of an unauthorized occupant is substantiated by NYCHA, NYPD may immediately reclaim the apartment.</w:t>
      </w:r>
      <w:r w:rsidR="00BF1DBF" w:rsidRPr="41A2087F">
        <w:rPr>
          <w:rStyle w:val="FootnoteReference"/>
          <w:rFonts w:eastAsia="Times New Roman" w:cs="Times New Roman"/>
        </w:rPr>
        <w:footnoteReference w:id="67"/>
      </w:r>
      <w:r w:rsidRPr="41A2087F">
        <w:rPr>
          <w:rFonts w:eastAsia="Times New Roman" w:cs="Times New Roman"/>
        </w:rPr>
        <w:t xml:space="preserve"> However, for apartments that are not designated as vacant, the process can take much longer.</w:t>
      </w:r>
      <w:r w:rsidR="00BF1DBF" w:rsidRPr="41A2087F">
        <w:rPr>
          <w:rStyle w:val="FootnoteReference"/>
          <w:rFonts w:eastAsia="Times New Roman" w:cs="Times New Roman"/>
        </w:rPr>
        <w:footnoteReference w:id="68"/>
      </w:r>
      <w:r w:rsidRPr="41A2087F">
        <w:rPr>
          <w:rFonts w:eastAsia="Times New Roman" w:cs="Times New Roman"/>
        </w:rPr>
        <w:t xml:space="preserve"> In particular, the pro</w:t>
      </w:r>
      <w:r w:rsidR="39C3A45A" w:rsidRPr="41A2087F">
        <w:rPr>
          <w:rFonts w:eastAsia="Times New Roman" w:cs="Times New Roman"/>
        </w:rPr>
        <w:t xml:space="preserve">cess can be drawn out if </w:t>
      </w:r>
      <w:r w:rsidR="0F105179" w:rsidRPr="41A2087F">
        <w:rPr>
          <w:rFonts w:eastAsia="Times New Roman" w:cs="Times New Roman"/>
        </w:rPr>
        <w:t>an</w:t>
      </w:r>
      <w:r w:rsidR="13020769" w:rsidRPr="41A2087F">
        <w:rPr>
          <w:rFonts w:eastAsia="Times New Roman" w:cs="Times New Roman"/>
        </w:rPr>
        <w:t xml:space="preserve"> </w:t>
      </w:r>
      <w:r w:rsidR="0F105179" w:rsidRPr="41A2087F">
        <w:rPr>
          <w:rFonts w:eastAsia="Times New Roman" w:cs="Times New Roman"/>
        </w:rPr>
        <w:t xml:space="preserve">individual asserts an occupancy claim which is disputed by NYCHA. In such cases, the dispute must be litigated in an administrative hearing or in </w:t>
      </w:r>
      <w:r w:rsidR="007B49BB">
        <w:rPr>
          <w:rFonts w:eastAsia="Times New Roman" w:cs="Times New Roman"/>
        </w:rPr>
        <w:t xml:space="preserve">NYC </w:t>
      </w:r>
      <w:r w:rsidR="0F105179" w:rsidRPr="41A2087F">
        <w:rPr>
          <w:rFonts w:eastAsia="Times New Roman" w:cs="Times New Roman"/>
        </w:rPr>
        <w:t>Housing Court, which can take over 2 years.</w:t>
      </w:r>
      <w:r w:rsidR="00BF1DBF" w:rsidRPr="41A2087F">
        <w:rPr>
          <w:rStyle w:val="FootnoteReference"/>
          <w:rFonts w:eastAsia="Times New Roman" w:cs="Times New Roman"/>
        </w:rPr>
        <w:footnoteReference w:id="69"/>
      </w:r>
      <w:r w:rsidR="0F105179" w:rsidRPr="41A2087F">
        <w:rPr>
          <w:rFonts w:eastAsia="Times New Roman" w:cs="Times New Roman"/>
        </w:rPr>
        <w:t xml:space="preserve"> </w:t>
      </w:r>
      <w:r w:rsidR="66923D3A" w:rsidRPr="41A2087F">
        <w:rPr>
          <w:rFonts w:eastAsia="Times New Roman" w:cs="Times New Roman"/>
        </w:rPr>
        <w:t>During that time, the occupant is generally allowed to remain in the apartment, and NYCHA is not permitted to change the locks, conduct security inspections, or otherwise secure the apartment.</w:t>
      </w:r>
      <w:r w:rsidR="00BF1DBF" w:rsidRPr="41A2087F">
        <w:rPr>
          <w:rStyle w:val="FootnoteReference"/>
          <w:rFonts w:eastAsia="Times New Roman" w:cs="Times New Roman"/>
        </w:rPr>
        <w:footnoteReference w:id="70"/>
      </w:r>
    </w:p>
    <w:p w14:paraId="1D6725BF" w14:textId="4F1DADDA" w:rsidR="736FC783" w:rsidRPr="009C6D33" w:rsidRDefault="205B5D42" w:rsidP="009C6D33">
      <w:pPr>
        <w:pStyle w:val="ListParagraph"/>
        <w:numPr>
          <w:ilvl w:val="0"/>
          <w:numId w:val="13"/>
        </w:numPr>
        <w:spacing w:after="0" w:line="480" w:lineRule="auto"/>
        <w:jc w:val="both"/>
        <w:rPr>
          <w:rFonts w:ascii="Times New Roman" w:eastAsia="Times New Roman" w:hAnsi="Times New Roman"/>
          <w:b/>
          <w:bCs/>
          <w:color w:val="000000" w:themeColor="text1"/>
          <w:sz w:val="24"/>
          <w:szCs w:val="24"/>
        </w:rPr>
      </w:pPr>
      <w:r w:rsidRPr="009C6D33">
        <w:rPr>
          <w:rFonts w:ascii="Times New Roman" w:eastAsia="Times New Roman" w:hAnsi="Times New Roman"/>
          <w:b/>
          <w:bCs/>
          <w:color w:val="000000" w:themeColor="text1"/>
          <w:sz w:val="24"/>
          <w:szCs w:val="24"/>
        </w:rPr>
        <w:t xml:space="preserve">DOI </w:t>
      </w:r>
      <w:r w:rsidR="006E3CF2">
        <w:rPr>
          <w:rFonts w:ascii="Times New Roman" w:eastAsia="Times New Roman" w:hAnsi="Times New Roman"/>
          <w:b/>
          <w:bCs/>
          <w:color w:val="000000" w:themeColor="text1"/>
          <w:sz w:val="24"/>
          <w:szCs w:val="24"/>
        </w:rPr>
        <w:t>F</w:t>
      </w:r>
      <w:r w:rsidR="00CD37AD">
        <w:rPr>
          <w:rFonts w:ascii="Times New Roman" w:eastAsia="Times New Roman" w:hAnsi="Times New Roman"/>
          <w:b/>
          <w:bCs/>
          <w:color w:val="000000" w:themeColor="text1"/>
          <w:sz w:val="24"/>
          <w:szCs w:val="24"/>
        </w:rPr>
        <w:t>indings</w:t>
      </w:r>
    </w:p>
    <w:p w14:paraId="233FE845" w14:textId="6D948B19" w:rsidR="00BC7103" w:rsidRDefault="6126E4D0" w:rsidP="00F410A8">
      <w:pPr>
        <w:spacing w:after="0" w:line="480" w:lineRule="auto"/>
        <w:ind w:firstLine="720"/>
        <w:jc w:val="both"/>
      </w:pPr>
      <w:r w:rsidRPr="2D3AA60E">
        <w:rPr>
          <w:rFonts w:eastAsia="Times New Roman" w:cs="Times New Roman"/>
          <w:color w:val="000000" w:themeColor="text1"/>
        </w:rPr>
        <w:t xml:space="preserve">Since the turnover process is lengthy and units can sit vacant for close to a year, inadequate security measures have </w:t>
      </w:r>
      <w:r w:rsidR="4D1EF674" w:rsidRPr="2D3AA60E">
        <w:rPr>
          <w:rFonts w:eastAsia="Times New Roman" w:cs="Times New Roman"/>
          <w:color w:val="000000" w:themeColor="text1"/>
        </w:rPr>
        <w:t xml:space="preserve">allowed unauthorized individuals to </w:t>
      </w:r>
      <w:r w:rsidR="4D1EF674" w:rsidRPr="41A2087F">
        <w:rPr>
          <w:rFonts w:eastAsia="Times New Roman" w:cs="Times New Roman"/>
          <w:color w:val="000000" w:themeColor="text1"/>
        </w:rPr>
        <w:t xml:space="preserve">occupy vacant apartments. </w:t>
      </w:r>
      <w:r w:rsidR="0018172C">
        <w:rPr>
          <w:rFonts w:eastAsia="Times New Roman" w:cs="Times New Roman"/>
          <w:color w:val="000000" w:themeColor="text1"/>
        </w:rPr>
        <w:t>DOI’s investigation detailed the consequences of prolonged vacancies</w:t>
      </w:r>
      <w:r w:rsidR="00926EB9">
        <w:rPr>
          <w:rFonts w:eastAsia="Times New Roman" w:cs="Times New Roman"/>
          <w:color w:val="000000" w:themeColor="text1"/>
        </w:rPr>
        <w:t>,</w:t>
      </w:r>
      <w:r w:rsidR="0018172C">
        <w:rPr>
          <w:rFonts w:eastAsia="Times New Roman" w:cs="Times New Roman"/>
          <w:color w:val="000000" w:themeColor="text1"/>
        </w:rPr>
        <w:t xml:space="preserve"> f</w:t>
      </w:r>
      <w:r w:rsidR="00926EB9">
        <w:rPr>
          <w:rFonts w:eastAsia="Times New Roman" w:cs="Times New Roman"/>
          <w:color w:val="000000" w:themeColor="text1"/>
        </w:rPr>
        <w:t>inding</w:t>
      </w:r>
      <w:r w:rsidR="0018172C">
        <w:rPr>
          <w:rFonts w:eastAsia="Times New Roman" w:cs="Times New Roman"/>
          <w:color w:val="000000" w:themeColor="text1"/>
        </w:rPr>
        <w:t xml:space="preserve"> that some unauthorized occupants used vacant apartments to conduct illegal activity.</w:t>
      </w:r>
      <w:r w:rsidR="0018172C">
        <w:rPr>
          <w:rStyle w:val="FootnoteReference"/>
          <w:rFonts w:eastAsia="Times New Roman" w:cs="Times New Roman"/>
          <w:color w:val="000000" w:themeColor="text1"/>
        </w:rPr>
        <w:footnoteReference w:id="71"/>
      </w:r>
      <w:r w:rsidR="0018172C">
        <w:rPr>
          <w:rFonts w:eastAsia="Times New Roman" w:cs="Times New Roman"/>
          <w:color w:val="000000" w:themeColor="text1"/>
        </w:rPr>
        <w:t xml:space="preserve"> </w:t>
      </w:r>
      <w:r w:rsidR="78C75E42" w:rsidRPr="41A2087F">
        <w:rPr>
          <w:rFonts w:eastAsia="Times New Roman" w:cs="Times New Roman"/>
          <w:color w:val="000000" w:themeColor="text1"/>
        </w:rPr>
        <w:t xml:space="preserve"> From January 2022 to May 2025, the NYPD reclaimed 548 apartments from unauthorized occupants</w:t>
      </w:r>
      <w:r w:rsidR="0018172C">
        <w:rPr>
          <w:rFonts w:eastAsia="Times New Roman" w:cs="Times New Roman"/>
          <w:color w:val="000000" w:themeColor="text1"/>
        </w:rPr>
        <w:t>.</w:t>
      </w:r>
      <w:r w:rsidR="007A5207">
        <w:rPr>
          <w:rStyle w:val="FootnoteReference"/>
          <w:rFonts w:eastAsia="Times New Roman" w:cs="Times New Roman"/>
          <w:color w:val="000000" w:themeColor="text1"/>
        </w:rPr>
        <w:footnoteReference w:id="72"/>
      </w:r>
      <w:r w:rsidR="007A5207">
        <w:t xml:space="preserve"> </w:t>
      </w:r>
      <w:r w:rsidR="796C5A61" w:rsidRPr="41A2087F">
        <w:rPr>
          <w:rFonts w:eastAsia="Times New Roman" w:cs="Times New Roman"/>
          <w:color w:val="000000" w:themeColor="text1"/>
        </w:rPr>
        <w:t xml:space="preserve">Sixty </w:t>
      </w:r>
      <w:r w:rsidR="00D40673">
        <w:rPr>
          <w:rFonts w:eastAsia="Times New Roman" w:cs="Times New Roman"/>
          <w:color w:val="000000" w:themeColor="text1"/>
        </w:rPr>
        <w:t>of those</w:t>
      </w:r>
      <w:r w:rsidR="00D40673" w:rsidRPr="41A2087F">
        <w:rPr>
          <w:rFonts w:eastAsia="Times New Roman" w:cs="Times New Roman"/>
          <w:color w:val="000000" w:themeColor="text1"/>
        </w:rPr>
        <w:t xml:space="preserve"> </w:t>
      </w:r>
      <w:r w:rsidR="796C5A61" w:rsidRPr="41A2087F">
        <w:rPr>
          <w:rFonts w:eastAsia="Times New Roman" w:cs="Times New Roman"/>
          <w:color w:val="000000" w:themeColor="text1"/>
        </w:rPr>
        <w:t xml:space="preserve">were </w:t>
      </w:r>
      <w:r w:rsidR="796C5A61" w:rsidRPr="41A2087F">
        <w:rPr>
          <w:rFonts w:eastAsia="Times New Roman" w:cs="Times New Roman"/>
          <w:color w:val="000000" w:themeColor="text1"/>
        </w:rPr>
        <w:lastRenderedPageBreak/>
        <w:t>recovered through a joint DOI-NYPD effort that resulted in 81 arrests</w:t>
      </w:r>
      <w:r w:rsidR="007A5207">
        <w:rPr>
          <w:rFonts w:eastAsia="Times New Roman" w:cs="Times New Roman"/>
          <w:color w:val="000000" w:themeColor="text1"/>
        </w:rPr>
        <w:t xml:space="preserve">, with charges including trespassing, </w:t>
      </w:r>
      <w:r w:rsidR="79A8CC9E" w:rsidRPr="41A2087F">
        <w:rPr>
          <w:rFonts w:eastAsia="Times New Roman" w:cs="Times New Roman"/>
          <w:color w:val="000000" w:themeColor="text1"/>
        </w:rPr>
        <w:t>criminal possession of a controlled substance</w:t>
      </w:r>
      <w:r w:rsidR="7FE59C90" w:rsidRPr="41A2087F" w:rsidDel="6126E4D0">
        <w:rPr>
          <w:rFonts w:eastAsia="Times New Roman" w:cs="Times New Roman"/>
          <w:color w:val="000000" w:themeColor="text1"/>
        </w:rPr>
        <w:t>,</w:t>
      </w:r>
      <w:r w:rsidR="79A8CC9E" w:rsidRPr="41A2087F">
        <w:rPr>
          <w:rFonts w:eastAsia="Times New Roman" w:cs="Times New Roman"/>
          <w:color w:val="000000" w:themeColor="text1"/>
        </w:rPr>
        <w:t xml:space="preserve"> and criminal possession of a weapon.</w:t>
      </w:r>
      <w:r w:rsidRPr="41A2087F">
        <w:rPr>
          <w:rStyle w:val="FootnoteReference"/>
          <w:rFonts w:eastAsia="Times New Roman" w:cs="Times New Roman"/>
          <w:color w:val="000000" w:themeColor="text1"/>
        </w:rPr>
        <w:footnoteReference w:id="73"/>
      </w:r>
      <w:r w:rsidR="007A5207">
        <w:rPr>
          <w:rFonts w:eastAsia="Times New Roman" w:cs="Times New Roman"/>
          <w:color w:val="000000" w:themeColor="text1"/>
        </w:rPr>
        <w:t xml:space="preserve"> </w:t>
      </w:r>
      <w:r w:rsidR="00BC7103">
        <w:rPr>
          <w:rFonts w:eastAsia="Times New Roman" w:cs="Times New Roman"/>
          <w:color w:val="000000" w:themeColor="text1"/>
        </w:rPr>
        <w:t>DOI notes that b</w:t>
      </w:r>
      <w:r w:rsidR="553E27BD" w:rsidRPr="1B98C316">
        <w:rPr>
          <w:rFonts w:eastAsia="Times New Roman" w:cs="Times New Roman"/>
          <w:color w:val="000000" w:themeColor="text1"/>
        </w:rPr>
        <w:t>ecause NYCHA lacked formal procedures for reporting and documenting the occurrence or suspicion of trespassing prior to 2024, reclamation figures before 2024 are most likely under-reported.</w:t>
      </w:r>
      <w:r w:rsidR="007A5207">
        <w:rPr>
          <w:rStyle w:val="FootnoteReference"/>
          <w:rFonts w:eastAsia="Times New Roman" w:cs="Times New Roman"/>
          <w:color w:val="000000" w:themeColor="text1"/>
        </w:rPr>
        <w:footnoteReference w:id="74"/>
      </w:r>
    </w:p>
    <w:p w14:paraId="29481500" w14:textId="307BB8FF" w:rsidR="00BC7103" w:rsidRDefault="28F1E18E" w:rsidP="00F410A8">
      <w:pPr>
        <w:spacing w:after="0" w:line="480" w:lineRule="auto"/>
        <w:ind w:firstLine="720"/>
        <w:jc w:val="both"/>
        <w:rPr>
          <w:rFonts w:eastAsia="Times New Roman" w:cs="Times New Roman"/>
          <w:color w:val="000000" w:themeColor="text1"/>
        </w:rPr>
      </w:pPr>
      <w:r w:rsidRPr="41A2087F">
        <w:rPr>
          <w:rFonts w:eastAsia="Times New Roman" w:cs="Times New Roman"/>
          <w:color w:val="000000" w:themeColor="text1"/>
        </w:rPr>
        <w:t xml:space="preserve">The DOI report detailed several incidents when the NYPD tried to reclaim </w:t>
      </w:r>
      <w:r w:rsidR="5C633DC7" w:rsidRPr="41A2087F">
        <w:rPr>
          <w:rFonts w:eastAsia="Times New Roman" w:cs="Times New Roman"/>
          <w:color w:val="000000" w:themeColor="text1"/>
        </w:rPr>
        <w:t xml:space="preserve">NYCHA </w:t>
      </w:r>
      <w:r w:rsidRPr="41A2087F">
        <w:rPr>
          <w:rFonts w:eastAsia="Times New Roman" w:cs="Times New Roman"/>
          <w:color w:val="000000" w:themeColor="text1"/>
        </w:rPr>
        <w:t>units</w:t>
      </w:r>
      <w:r w:rsidR="00BC7103">
        <w:rPr>
          <w:rFonts w:eastAsia="Times New Roman" w:cs="Times New Roman"/>
          <w:color w:val="000000" w:themeColor="text1"/>
        </w:rPr>
        <w:t xml:space="preserve">, including: </w:t>
      </w:r>
      <w:r w:rsidRPr="41A2087F">
        <w:rPr>
          <w:rFonts w:eastAsia="Times New Roman" w:cs="Times New Roman"/>
          <w:color w:val="000000" w:themeColor="text1"/>
        </w:rPr>
        <w:t>a shooting in a vacant Castle Hill apartment in May 2023</w:t>
      </w:r>
      <w:r w:rsidR="00BC7103">
        <w:rPr>
          <w:rFonts w:eastAsia="Times New Roman" w:cs="Times New Roman"/>
          <w:color w:val="000000" w:themeColor="text1"/>
        </w:rPr>
        <w:t>;</w:t>
      </w:r>
      <w:r w:rsidR="000C58DA">
        <w:rPr>
          <w:rStyle w:val="FootnoteReference"/>
          <w:rFonts w:eastAsia="Times New Roman" w:cs="Times New Roman"/>
          <w:color w:val="000000" w:themeColor="text1"/>
        </w:rPr>
        <w:footnoteReference w:id="75"/>
      </w:r>
      <w:r w:rsidR="00BC7103">
        <w:rPr>
          <w:rFonts w:eastAsia="Times New Roman" w:cs="Times New Roman"/>
          <w:color w:val="000000" w:themeColor="text1"/>
        </w:rPr>
        <w:t xml:space="preserve"> the arrest of </w:t>
      </w:r>
      <w:r w:rsidR="78FDF284" w:rsidRPr="41A2087F">
        <w:rPr>
          <w:rFonts w:eastAsia="Times New Roman" w:cs="Times New Roman"/>
          <w:color w:val="000000" w:themeColor="text1"/>
        </w:rPr>
        <w:t>a child that was neglected at Mitchell Houses</w:t>
      </w:r>
      <w:r w:rsidR="00BC7103">
        <w:rPr>
          <w:rFonts w:eastAsia="Times New Roman" w:cs="Times New Roman"/>
          <w:color w:val="000000" w:themeColor="text1"/>
        </w:rPr>
        <w:t>;</w:t>
      </w:r>
      <w:r w:rsidR="000C58DA">
        <w:rPr>
          <w:rStyle w:val="FootnoteReference"/>
          <w:rFonts w:eastAsia="Times New Roman" w:cs="Times New Roman"/>
          <w:color w:val="000000" w:themeColor="text1"/>
        </w:rPr>
        <w:footnoteReference w:id="76"/>
      </w:r>
      <w:r w:rsidR="00BC7103">
        <w:rPr>
          <w:rFonts w:eastAsia="Times New Roman" w:cs="Times New Roman"/>
          <w:color w:val="000000" w:themeColor="text1"/>
        </w:rPr>
        <w:t xml:space="preserve"> and the confiscation of a </w:t>
      </w:r>
      <w:r w:rsidR="78FDF284" w:rsidRPr="1B98C316">
        <w:rPr>
          <w:rFonts w:eastAsia="Times New Roman" w:cs="Times New Roman"/>
          <w:color w:val="000000" w:themeColor="text1"/>
        </w:rPr>
        <w:t>firearm at Surfside Gardens whe</w:t>
      </w:r>
      <w:r w:rsidR="38A52BB1" w:rsidRPr="41A2087F">
        <w:rPr>
          <w:rFonts w:eastAsia="Times New Roman" w:cs="Times New Roman"/>
          <w:color w:val="000000" w:themeColor="text1"/>
        </w:rPr>
        <w:t>re two alleged gang members were arrested.</w:t>
      </w:r>
      <w:r w:rsidR="009501DA">
        <w:rPr>
          <w:rStyle w:val="FootnoteReference"/>
          <w:rFonts w:eastAsia="Times New Roman" w:cs="Times New Roman"/>
          <w:color w:val="000000" w:themeColor="text1"/>
        </w:rPr>
        <w:footnoteReference w:id="77"/>
      </w:r>
    </w:p>
    <w:p w14:paraId="124CEB62" w14:textId="0D985D83" w:rsidR="736FC783" w:rsidRDefault="38A52BB1" w:rsidP="00F410A8">
      <w:pPr>
        <w:spacing w:after="0" w:line="480" w:lineRule="auto"/>
        <w:ind w:firstLine="720"/>
        <w:jc w:val="both"/>
        <w:rPr>
          <w:rFonts w:eastAsia="Times New Roman" w:cs="Times New Roman"/>
          <w:color w:val="000000" w:themeColor="text1"/>
        </w:rPr>
      </w:pPr>
      <w:r w:rsidRPr="41A2087F">
        <w:rPr>
          <w:rFonts w:eastAsia="Times New Roman" w:cs="Times New Roman"/>
          <w:color w:val="000000" w:themeColor="text1"/>
        </w:rPr>
        <w:t>During the investigations, DOI identified se</w:t>
      </w:r>
      <w:r w:rsidR="00BC7103">
        <w:rPr>
          <w:rFonts w:eastAsia="Times New Roman" w:cs="Times New Roman"/>
          <w:color w:val="000000" w:themeColor="text1"/>
        </w:rPr>
        <w:t>veral issues with NYCHA’s handling of vacant apartments</w:t>
      </w:r>
      <w:r w:rsidR="069D67AD" w:rsidRPr="1B98C316">
        <w:rPr>
          <w:rFonts w:eastAsia="Times New Roman" w:cs="Times New Roman"/>
          <w:color w:val="000000" w:themeColor="text1"/>
        </w:rPr>
        <w:t>, including the following:</w:t>
      </w:r>
    </w:p>
    <w:p w14:paraId="1B259EF7" w14:textId="58BD8541" w:rsidR="736FC783" w:rsidRDefault="73AAF079" w:rsidP="081377DC">
      <w:pPr>
        <w:pStyle w:val="ListParagraph"/>
        <w:numPr>
          <w:ilvl w:val="0"/>
          <w:numId w:val="3"/>
        </w:numPr>
        <w:spacing w:after="0" w:line="480" w:lineRule="auto"/>
        <w:jc w:val="both"/>
        <w:rPr>
          <w:rFonts w:ascii="Times New Roman" w:eastAsia="Times New Roman" w:hAnsi="Times New Roman"/>
          <w:color w:val="000000" w:themeColor="text1"/>
          <w:sz w:val="24"/>
          <w:szCs w:val="24"/>
        </w:rPr>
      </w:pPr>
      <w:r w:rsidRPr="41A2087F">
        <w:rPr>
          <w:rFonts w:ascii="Times New Roman" w:eastAsia="Times New Roman" w:hAnsi="Times New Roman"/>
          <w:color w:val="000000" w:themeColor="text1"/>
          <w:sz w:val="24"/>
          <w:szCs w:val="24"/>
        </w:rPr>
        <w:t>NYCHA does not proactively inspect vacant units during the turnover cycle</w:t>
      </w:r>
      <w:r w:rsidR="1DF1520D" w:rsidRPr="41A2087F">
        <w:rPr>
          <w:rFonts w:ascii="Times New Roman" w:eastAsia="Times New Roman" w:hAnsi="Times New Roman"/>
          <w:color w:val="000000" w:themeColor="text1"/>
          <w:sz w:val="24"/>
          <w:szCs w:val="24"/>
        </w:rPr>
        <w:t>,</w:t>
      </w:r>
      <w:r w:rsidRPr="41A2087F">
        <w:rPr>
          <w:rFonts w:ascii="Times New Roman" w:eastAsia="Times New Roman" w:hAnsi="Times New Roman"/>
          <w:color w:val="000000" w:themeColor="text1"/>
          <w:sz w:val="24"/>
          <w:szCs w:val="24"/>
        </w:rPr>
        <w:t xml:space="preserve"> which can last up to a year.</w:t>
      </w:r>
      <w:r w:rsidRPr="41A2087F">
        <w:rPr>
          <w:rStyle w:val="FootnoteReference"/>
          <w:rFonts w:ascii="Times New Roman" w:eastAsia="Times New Roman" w:hAnsi="Times New Roman"/>
          <w:color w:val="000000" w:themeColor="text1"/>
          <w:sz w:val="24"/>
          <w:szCs w:val="24"/>
        </w:rPr>
        <w:footnoteReference w:id="78"/>
      </w:r>
    </w:p>
    <w:p w14:paraId="35A18455" w14:textId="23B7EDE7" w:rsidR="736FC783" w:rsidRDefault="48CCBA4D" w:rsidP="081377DC">
      <w:pPr>
        <w:pStyle w:val="ListParagraph"/>
        <w:numPr>
          <w:ilvl w:val="0"/>
          <w:numId w:val="3"/>
        </w:numPr>
        <w:spacing w:after="0" w:line="480" w:lineRule="auto"/>
        <w:jc w:val="both"/>
        <w:rPr>
          <w:rFonts w:ascii="Times New Roman" w:eastAsia="Times New Roman" w:hAnsi="Times New Roman"/>
          <w:color w:val="000000" w:themeColor="text1"/>
          <w:sz w:val="24"/>
          <w:szCs w:val="24"/>
        </w:rPr>
      </w:pPr>
      <w:r w:rsidRPr="41A2087F">
        <w:rPr>
          <w:rFonts w:ascii="Times New Roman" w:eastAsia="Times New Roman" w:hAnsi="Times New Roman"/>
          <w:color w:val="000000" w:themeColor="text1"/>
          <w:sz w:val="24"/>
          <w:szCs w:val="24"/>
        </w:rPr>
        <w:t>NYCHA’s</w:t>
      </w:r>
      <w:r w:rsidR="73AAF079" w:rsidRPr="41A2087F">
        <w:rPr>
          <w:rFonts w:ascii="Times New Roman" w:eastAsia="Times New Roman" w:hAnsi="Times New Roman"/>
          <w:color w:val="000000" w:themeColor="text1"/>
          <w:sz w:val="24"/>
          <w:szCs w:val="24"/>
        </w:rPr>
        <w:t xml:space="preserve"> lock </w:t>
      </w:r>
      <w:r w:rsidR="73398505" w:rsidRPr="41A2087F">
        <w:rPr>
          <w:rFonts w:ascii="Times New Roman" w:eastAsia="Times New Roman" w:hAnsi="Times New Roman"/>
          <w:color w:val="000000" w:themeColor="text1"/>
          <w:sz w:val="24"/>
          <w:szCs w:val="24"/>
        </w:rPr>
        <w:t>procedure</w:t>
      </w:r>
      <w:r w:rsidR="73AAF079" w:rsidRPr="41A2087F">
        <w:rPr>
          <w:rFonts w:ascii="Times New Roman" w:eastAsia="Times New Roman" w:hAnsi="Times New Roman"/>
          <w:color w:val="000000" w:themeColor="text1"/>
          <w:sz w:val="24"/>
          <w:szCs w:val="24"/>
        </w:rPr>
        <w:t xml:space="preserve"> requires</w:t>
      </w:r>
      <w:r w:rsidR="2B9C0256" w:rsidRPr="41A2087F">
        <w:rPr>
          <w:rFonts w:ascii="Times New Roman" w:eastAsia="Times New Roman" w:hAnsi="Times New Roman"/>
          <w:color w:val="000000" w:themeColor="text1"/>
          <w:sz w:val="24"/>
          <w:szCs w:val="24"/>
        </w:rPr>
        <w:t xml:space="preserve"> a single key for all vacant apartments</w:t>
      </w:r>
      <w:r w:rsidR="14ED591B" w:rsidRPr="41A2087F">
        <w:rPr>
          <w:rFonts w:ascii="Times New Roman" w:eastAsia="Times New Roman" w:hAnsi="Times New Roman"/>
          <w:color w:val="000000" w:themeColor="text1"/>
          <w:sz w:val="24"/>
          <w:szCs w:val="24"/>
        </w:rPr>
        <w:t xml:space="preserve"> within a development</w:t>
      </w:r>
      <w:r w:rsidR="2B9C0256" w:rsidRPr="41A2087F">
        <w:rPr>
          <w:rFonts w:ascii="Times New Roman" w:eastAsia="Times New Roman" w:hAnsi="Times New Roman"/>
          <w:color w:val="000000" w:themeColor="text1"/>
          <w:sz w:val="24"/>
          <w:szCs w:val="24"/>
        </w:rPr>
        <w:t xml:space="preserve">. Anyone with access to that key can enter every single vacant apartment </w:t>
      </w:r>
      <w:r w:rsidR="252B03C0" w:rsidRPr="41A2087F">
        <w:rPr>
          <w:rFonts w:ascii="Times New Roman" w:eastAsia="Times New Roman" w:hAnsi="Times New Roman"/>
          <w:color w:val="000000" w:themeColor="text1"/>
          <w:sz w:val="24"/>
          <w:szCs w:val="24"/>
        </w:rPr>
        <w:t xml:space="preserve">in that development. In some cases, NYCHA staff uses a generic </w:t>
      </w:r>
      <w:r w:rsidR="79759470" w:rsidRPr="41A2087F">
        <w:rPr>
          <w:rFonts w:ascii="Times New Roman" w:eastAsia="Times New Roman" w:hAnsi="Times New Roman"/>
          <w:color w:val="000000" w:themeColor="text1"/>
          <w:sz w:val="24"/>
          <w:szCs w:val="24"/>
        </w:rPr>
        <w:t>lockset</w:t>
      </w:r>
      <w:r w:rsidR="37F51E35" w:rsidRPr="41A2087F">
        <w:rPr>
          <w:rFonts w:ascii="Times New Roman" w:eastAsia="Times New Roman" w:hAnsi="Times New Roman"/>
          <w:color w:val="000000" w:themeColor="text1"/>
          <w:sz w:val="24"/>
          <w:szCs w:val="24"/>
        </w:rPr>
        <w:t xml:space="preserve">—which is used across NYCHA’s portfolio for </w:t>
      </w:r>
      <w:r w:rsidR="252B03C0" w:rsidRPr="41A2087F">
        <w:rPr>
          <w:rFonts w:ascii="Times New Roman" w:eastAsia="Times New Roman" w:hAnsi="Times New Roman"/>
          <w:color w:val="000000" w:themeColor="text1"/>
          <w:sz w:val="24"/>
          <w:szCs w:val="24"/>
        </w:rPr>
        <w:t>utility sp</w:t>
      </w:r>
      <w:r w:rsidR="00215D6D">
        <w:rPr>
          <w:rFonts w:ascii="Times New Roman" w:eastAsia="Times New Roman" w:hAnsi="Times New Roman"/>
          <w:color w:val="000000" w:themeColor="text1"/>
          <w:sz w:val="24"/>
          <w:szCs w:val="24"/>
        </w:rPr>
        <w:t>aces and management offices</w:t>
      </w:r>
      <w:r w:rsidR="09E1040A" w:rsidRPr="41A2087F">
        <w:rPr>
          <w:rFonts w:ascii="Times New Roman" w:eastAsia="Times New Roman" w:hAnsi="Times New Roman"/>
          <w:color w:val="000000" w:themeColor="text1"/>
          <w:sz w:val="24"/>
          <w:szCs w:val="24"/>
        </w:rPr>
        <w:t>—to secu</w:t>
      </w:r>
      <w:r w:rsidR="00215D6D">
        <w:rPr>
          <w:rFonts w:ascii="Times New Roman" w:eastAsia="Times New Roman" w:hAnsi="Times New Roman"/>
          <w:color w:val="000000" w:themeColor="text1"/>
          <w:sz w:val="24"/>
          <w:szCs w:val="24"/>
        </w:rPr>
        <w:t>re vacant apartments.</w:t>
      </w:r>
      <w:r w:rsidR="009501DA">
        <w:rPr>
          <w:rStyle w:val="FootnoteReference"/>
          <w:rFonts w:ascii="Times New Roman" w:eastAsia="Times New Roman" w:hAnsi="Times New Roman"/>
          <w:color w:val="000000" w:themeColor="text1"/>
          <w:sz w:val="24"/>
          <w:szCs w:val="24"/>
        </w:rPr>
        <w:footnoteReference w:id="79"/>
      </w:r>
    </w:p>
    <w:p w14:paraId="30865E02" w14:textId="276CDA18" w:rsidR="736FC783" w:rsidRDefault="40EE9F9A">
      <w:pPr>
        <w:pStyle w:val="ListParagraph"/>
        <w:numPr>
          <w:ilvl w:val="0"/>
          <w:numId w:val="3"/>
        </w:numPr>
        <w:spacing w:after="0" w:line="480" w:lineRule="auto"/>
        <w:jc w:val="both"/>
        <w:rPr>
          <w:rFonts w:ascii="Times New Roman" w:eastAsia="Times New Roman" w:hAnsi="Times New Roman"/>
          <w:color w:val="000000" w:themeColor="text1"/>
          <w:sz w:val="24"/>
          <w:szCs w:val="24"/>
        </w:rPr>
      </w:pPr>
      <w:r w:rsidRPr="41A2087F">
        <w:rPr>
          <w:rFonts w:ascii="Times New Roman" w:eastAsia="Times New Roman" w:hAnsi="Times New Roman"/>
          <w:color w:val="000000" w:themeColor="text1"/>
          <w:sz w:val="24"/>
          <w:szCs w:val="24"/>
        </w:rPr>
        <w:t xml:space="preserve">Not all unauthorized occupancies are properly addressed through the reclamation process. </w:t>
      </w:r>
      <w:r w:rsidR="6CBD3DE4" w:rsidRPr="41A2087F">
        <w:rPr>
          <w:rFonts w:ascii="Times New Roman" w:eastAsia="Times New Roman" w:hAnsi="Times New Roman"/>
          <w:color w:val="000000" w:themeColor="text1"/>
          <w:sz w:val="24"/>
          <w:szCs w:val="24"/>
        </w:rPr>
        <w:t xml:space="preserve">NYCHA </w:t>
      </w:r>
      <w:r w:rsidR="2D9A5507" w:rsidRPr="41A2087F">
        <w:rPr>
          <w:rFonts w:ascii="Times New Roman" w:eastAsia="Times New Roman" w:hAnsi="Times New Roman"/>
          <w:color w:val="000000" w:themeColor="text1"/>
          <w:sz w:val="24"/>
          <w:szCs w:val="24"/>
        </w:rPr>
        <w:t xml:space="preserve">has </w:t>
      </w:r>
      <w:r w:rsidR="6CBD3DE4" w:rsidRPr="41A2087F">
        <w:rPr>
          <w:rFonts w:ascii="Times New Roman" w:eastAsia="Times New Roman" w:hAnsi="Times New Roman"/>
          <w:color w:val="000000" w:themeColor="text1"/>
          <w:sz w:val="24"/>
          <w:szCs w:val="24"/>
        </w:rPr>
        <w:t xml:space="preserve">a Resident Watch Program that is active at over 100 </w:t>
      </w:r>
      <w:r w:rsidR="6CBD3DE4" w:rsidRPr="41A2087F">
        <w:rPr>
          <w:rFonts w:ascii="Times New Roman" w:eastAsia="Times New Roman" w:hAnsi="Times New Roman"/>
          <w:color w:val="000000" w:themeColor="text1"/>
          <w:sz w:val="24"/>
          <w:szCs w:val="24"/>
        </w:rPr>
        <w:lastRenderedPageBreak/>
        <w:t>developments. From 2022 t</w:t>
      </w:r>
      <w:r w:rsidR="582C0D21" w:rsidRPr="41A2087F">
        <w:rPr>
          <w:rFonts w:ascii="Times New Roman" w:eastAsia="Times New Roman" w:hAnsi="Times New Roman"/>
          <w:color w:val="000000" w:themeColor="text1"/>
          <w:sz w:val="24"/>
          <w:szCs w:val="24"/>
        </w:rPr>
        <w:t xml:space="preserve">o 2025, they reported 28 instances of unauthorized occupants despite over 500 </w:t>
      </w:r>
      <w:r w:rsidR="0EB327F1" w:rsidRPr="41A2087F">
        <w:rPr>
          <w:rFonts w:ascii="Times New Roman" w:eastAsia="Times New Roman" w:hAnsi="Times New Roman"/>
          <w:color w:val="000000" w:themeColor="text1"/>
          <w:sz w:val="24"/>
          <w:szCs w:val="24"/>
        </w:rPr>
        <w:t>apartments being reclaimed.</w:t>
      </w:r>
      <w:r w:rsidR="6CBD3DE4" w:rsidRPr="41A2087F">
        <w:rPr>
          <w:rStyle w:val="FootnoteReference"/>
          <w:rFonts w:ascii="Times New Roman" w:eastAsia="Times New Roman" w:hAnsi="Times New Roman"/>
          <w:color w:val="000000" w:themeColor="text1"/>
          <w:sz w:val="24"/>
          <w:szCs w:val="24"/>
        </w:rPr>
        <w:footnoteReference w:id="80"/>
      </w:r>
    </w:p>
    <w:p w14:paraId="58DA91ED" w14:textId="1B5EFFD9" w:rsidR="736FC783" w:rsidRDefault="205B5D42" w:rsidP="003675C7">
      <w:pPr>
        <w:pStyle w:val="ListParagraph"/>
        <w:keepNext/>
        <w:numPr>
          <w:ilvl w:val="0"/>
          <w:numId w:val="9"/>
        </w:numPr>
        <w:spacing w:after="0" w:line="480" w:lineRule="auto"/>
        <w:rPr>
          <w:rFonts w:ascii="Times New Roman" w:eastAsia="Times New Roman" w:hAnsi="Times New Roman"/>
          <w:b/>
          <w:bCs/>
          <w:color w:val="000000" w:themeColor="text1"/>
          <w:sz w:val="24"/>
          <w:szCs w:val="24"/>
        </w:rPr>
      </w:pPr>
      <w:r w:rsidRPr="081377DC">
        <w:rPr>
          <w:rFonts w:ascii="Times New Roman" w:eastAsia="Times New Roman" w:hAnsi="Times New Roman"/>
          <w:b/>
          <w:bCs/>
          <w:color w:val="000000" w:themeColor="text1"/>
          <w:sz w:val="24"/>
          <w:szCs w:val="24"/>
        </w:rPr>
        <w:t>Recommendations</w:t>
      </w:r>
    </w:p>
    <w:p w14:paraId="6F386F17" w14:textId="76A921CF" w:rsidR="736FC783" w:rsidRDefault="2DBEAB4A" w:rsidP="009C6D33">
      <w:pPr>
        <w:spacing w:after="0" w:line="480" w:lineRule="auto"/>
        <w:ind w:firstLine="720"/>
        <w:jc w:val="both"/>
        <w:rPr>
          <w:rFonts w:eastAsia="Times New Roman" w:cs="Times New Roman"/>
          <w:color w:val="000000" w:themeColor="text1"/>
        </w:rPr>
      </w:pPr>
      <w:r w:rsidRPr="2D3AA60E">
        <w:rPr>
          <w:rFonts w:eastAsia="Times New Roman" w:cs="Times New Roman"/>
          <w:color w:val="000000" w:themeColor="text1"/>
        </w:rPr>
        <w:t>To address these problems</w:t>
      </w:r>
      <w:r w:rsidR="2251C7A1" w:rsidRPr="2D3AA60E">
        <w:rPr>
          <w:rFonts w:eastAsia="Times New Roman" w:cs="Times New Roman"/>
          <w:color w:val="000000" w:themeColor="text1"/>
        </w:rPr>
        <w:t>,</w:t>
      </w:r>
      <w:r w:rsidRPr="2D3AA60E">
        <w:rPr>
          <w:rFonts w:eastAsia="Times New Roman" w:cs="Times New Roman"/>
          <w:color w:val="000000" w:themeColor="text1"/>
        </w:rPr>
        <w:t xml:space="preserve"> DOI </w:t>
      </w:r>
      <w:r w:rsidR="2A29DD1E" w:rsidRPr="2D3AA60E">
        <w:rPr>
          <w:rFonts w:eastAsia="Times New Roman" w:cs="Times New Roman"/>
          <w:color w:val="000000" w:themeColor="text1"/>
        </w:rPr>
        <w:t>issue</w:t>
      </w:r>
      <w:r w:rsidR="00641C08">
        <w:rPr>
          <w:rFonts w:eastAsia="Times New Roman" w:cs="Times New Roman"/>
          <w:color w:val="000000" w:themeColor="text1"/>
        </w:rPr>
        <w:t>d</w:t>
      </w:r>
      <w:r w:rsidR="2A29DD1E" w:rsidRPr="2D3AA60E">
        <w:rPr>
          <w:rFonts w:eastAsia="Times New Roman" w:cs="Times New Roman"/>
          <w:color w:val="000000" w:themeColor="text1"/>
        </w:rPr>
        <w:t xml:space="preserve"> </w:t>
      </w:r>
      <w:r w:rsidRPr="2D3AA60E">
        <w:rPr>
          <w:rFonts w:eastAsia="Times New Roman" w:cs="Times New Roman"/>
          <w:color w:val="000000" w:themeColor="text1"/>
        </w:rPr>
        <w:t>the following recommendations</w:t>
      </w:r>
      <w:r w:rsidR="4807C541" w:rsidRPr="2D3AA60E">
        <w:rPr>
          <w:rFonts w:eastAsia="Times New Roman" w:cs="Times New Roman"/>
          <w:color w:val="000000" w:themeColor="text1"/>
        </w:rPr>
        <w:t xml:space="preserve"> to NYCHA</w:t>
      </w:r>
      <w:r w:rsidRPr="2D3AA60E">
        <w:rPr>
          <w:rFonts w:eastAsia="Times New Roman" w:cs="Times New Roman"/>
          <w:color w:val="000000" w:themeColor="text1"/>
        </w:rPr>
        <w:t>:</w:t>
      </w:r>
    </w:p>
    <w:p w14:paraId="61719F2E" w14:textId="5182F969" w:rsidR="736FC783" w:rsidRDefault="21260105" w:rsidP="009C6D33">
      <w:pPr>
        <w:pStyle w:val="ListParagraph"/>
        <w:numPr>
          <w:ilvl w:val="0"/>
          <w:numId w:val="2"/>
        </w:numPr>
        <w:spacing w:after="0" w:line="480" w:lineRule="auto"/>
        <w:jc w:val="both"/>
        <w:rPr>
          <w:rFonts w:ascii="Times New Roman" w:eastAsia="Times New Roman" w:hAnsi="Times New Roman"/>
          <w:color w:val="000000" w:themeColor="text1"/>
          <w:sz w:val="24"/>
          <w:szCs w:val="24"/>
        </w:rPr>
      </w:pPr>
      <w:r w:rsidRPr="41A2087F">
        <w:rPr>
          <w:rFonts w:ascii="Times New Roman" w:eastAsia="Times New Roman" w:hAnsi="Times New Roman"/>
          <w:color w:val="000000" w:themeColor="text1"/>
          <w:sz w:val="24"/>
          <w:szCs w:val="24"/>
        </w:rPr>
        <w:t>R</w:t>
      </w:r>
      <w:r w:rsidR="1DC00CD3" w:rsidRPr="41A2087F">
        <w:rPr>
          <w:rFonts w:ascii="Times New Roman" w:eastAsia="Times New Roman" w:hAnsi="Times New Roman"/>
          <w:color w:val="000000" w:themeColor="text1"/>
          <w:sz w:val="24"/>
          <w:szCs w:val="24"/>
        </w:rPr>
        <w:t>e</w:t>
      </w:r>
      <w:r w:rsidRPr="41A2087F">
        <w:rPr>
          <w:rFonts w:ascii="Times New Roman" w:eastAsia="Times New Roman" w:hAnsi="Times New Roman"/>
          <w:color w:val="000000" w:themeColor="text1"/>
          <w:sz w:val="24"/>
          <w:szCs w:val="24"/>
        </w:rPr>
        <w:t>vise the procedures for property management to i</w:t>
      </w:r>
      <w:r w:rsidR="1EA0BAD1" w:rsidRPr="41A2087F">
        <w:rPr>
          <w:rFonts w:ascii="Times New Roman" w:eastAsia="Times New Roman" w:hAnsi="Times New Roman"/>
          <w:color w:val="000000" w:themeColor="text1"/>
          <w:sz w:val="24"/>
          <w:szCs w:val="24"/>
        </w:rPr>
        <w:t>ns</w:t>
      </w:r>
      <w:r w:rsidRPr="41A2087F">
        <w:rPr>
          <w:rFonts w:ascii="Times New Roman" w:eastAsia="Times New Roman" w:hAnsi="Times New Roman"/>
          <w:color w:val="000000" w:themeColor="text1"/>
          <w:sz w:val="24"/>
          <w:szCs w:val="24"/>
        </w:rPr>
        <w:t>pect all unrentable vacant apartments monthly</w:t>
      </w:r>
      <w:r w:rsidR="0E223AFB" w:rsidRPr="41A2087F">
        <w:rPr>
          <w:rFonts w:ascii="Times New Roman" w:eastAsia="Times New Roman" w:hAnsi="Times New Roman"/>
          <w:color w:val="000000" w:themeColor="text1"/>
          <w:sz w:val="24"/>
          <w:szCs w:val="24"/>
        </w:rPr>
        <w:t xml:space="preserve">. During the inspection, NYCHA </w:t>
      </w:r>
      <w:r w:rsidR="08338E91" w:rsidRPr="41A2087F">
        <w:rPr>
          <w:rFonts w:ascii="Times New Roman" w:eastAsia="Times New Roman" w:hAnsi="Times New Roman"/>
          <w:color w:val="000000" w:themeColor="text1"/>
          <w:sz w:val="24"/>
          <w:szCs w:val="24"/>
        </w:rPr>
        <w:t>should check</w:t>
      </w:r>
      <w:r w:rsidR="0E223AFB" w:rsidRPr="41A2087F">
        <w:rPr>
          <w:rFonts w:ascii="Times New Roman" w:eastAsia="Times New Roman" w:hAnsi="Times New Roman"/>
          <w:color w:val="000000" w:themeColor="text1"/>
          <w:sz w:val="24"/>
          <w:szCs w:val="24"/>
        </w:rPr>
        <w:t xml:space="preserve"> windows, door locks</w:t>
      </w:r>
      <w:r w:rsidR="7A51216C" w:rsidRPr="41A2087F">
        <w:rPr>
          <w:rFonts w:ascii="Times New Roman" w:eastAsia="Times New Roman" w:hAnsi="Times New Roman"/>
          <w:color w:val="000000" w:themeColor="text1"/>
          <w:sz w:val="24"/>
          <w:szCs w:val="24"/>
        </w:rPr>
        <w:t>,</w:t>
      </w:r>
      <w:r w:rsidR="0E223AFB" w:rsidRPr="41A2087F">
        <w:rPr>
          <w:rFonts w:ascii="Times New Roman" w:eastAsia="Times New Roman" w:hAnsi="Times New Roman"/>
          <w:color w:val="000000" w:themeColor="text1"/>
          <w:sz w:val="24"/>
          <w:szCs w:val="24"/>
        </w:rPr>
        <w:t xml:space="preserve"> and signs of unauthorized occupancy and report any unauthorized </w:t>
      </w:r>
      <w:r w:rsidR="27FC5085" w:rsidRPr="41A2087F">
        <w:rPr>
          <w:rFonts w:ascii="Times New Roman" w:eastAsia="Times New Roman" w:hAnsi="Times New Roman"/>
          <w:color w:val="000000" w:themeColor="text1"/>
          <w:sz w:val="24"/>
          <w:szCs w:val="24"/>
        </w:rPr>
        <w:t>individuals</w:t>
      </w:r>
      <w:r w:rsidR="0E223AFB" w:rsidRPr="41A2087F">
        <w:rPr>
          <w:rFonts w:ascii="Times New Roman" w:eastAsia="Times New Roman" w:hAnsi="Times New Roman"/>
          <w:color w:val="000000" w:themeColor="text1"/>
          <w:sz w:val="24"/>
          <w:szCs w:val="24"/>
        </w:rPr>
        <w:t xml:space="preserve"> to NYCHA’s Law Department within 72</w:t>
      </w:r>
      <w:r w:rsidR="0AA819EB" w:rsidRPr="41A2087F">
        <w:rPr>
          <w:rFonts w:ascii="Times New Roman" w:eastAsia="Times New Roman" w:hAnsi="Times New Roman"/>
          <w:color w:val="000000" w:themeColor="text1"/>
          <w:sz w:val="24"/>
          <w:szCs w:val="24"/>
        </w:rPr>
        <w:t xml:space="preserve"> hours.</w:t>
      </w:r>
      <w:r w:rsidRPr="41A2087F">
        <w:rPr>
          <w:rStyle w:val="FootnoteReference"/>
          <w:rFonts w:ascii="Times New Roman" w:eastAsia="Times New Roman" w:hAnsi="Times New Roman"/>
          <w:color w:val="000000" w:themeColor="text1"/>
          <w:sz w:val="24"/>
          <w:szCs w:val="24"/>
        </w:rPr>
        <w:footnoteReference w:id="81"/>
      </w:r>
      <w:r w:rsidR="2D0D4244" w:rsidRPr="41A2087F">
        <w:rPr>
          <w:rFonts w:ascii="Times New Roman" w:eastAsia="Times New Roman" w:hAnsi="Times New Roman"/>
          <w:color w:val="000000" w:themeColor="text1"/>
          <w:sz w:val="24"/>
          <w:szCs w:val="24"/>
        </w:rPr>
        <w:t xml:space="preserve"> </w:t>
      </w:r>
      <w:r w:rsidR="0AA819EB" w:rsidRPr="41A2087F">
        <w:rPr>
          <w:rFonts w:ascii="Times New Roman" w:eastAsia="Times New Roman" w:hAnsi="Times New Roman"/>
          <w:color w:val="000000" w:themeColor="text1"/>
          <w:sz w:val="24"/>
          <w:szCs w:val="24"/>
        </w:rPr>
        <w:t>NYCHA accept</w:t>
      </w:r>
      <w:r w:rsidR="2199A378" w:rsidRPr="41A2087F">
        <w:rPr>
          <w:rFonts w:ascii="Times New Roman" w:eastAsia="Times New Roman" w:hAnsi="Times New Roman"/>
          <w:color w:val="000000" w:themeColor="text1"/>
          <w:sz w:val="24"/>
          <w:szCs w:val="24"/>
        </w:rPr>
        <w:t>s</w:t>
      </w:r>
      <w:r w:rsidR="273A7FD5" w:rsidRPr="41A2087F">
        <w:rPr>
          <w:rFonts w:ascii="Times New Roman" w:eastAsia="Times New Roman" w:hAnsi="Times New Roman"/>
          <w:color w:val="000000" w:themeColor="text1"/>
          <w:sz w:val="24"/>
          <w:szCs w:val="24"/>
        </w:rPr>
        <w:t xml:space="preserve"> this</w:t>
      </w:r>
      <w:r w:rsidR="0AA819EB" w:rsidRPr="41A2087F">
        <w:rPr>
          <w:rFonts w:ascii="Times New Roman" w:eastAsia="Times New Roman" w:hAnsi="Times New Roman"/>
          <w:color w:val="000000" w:themeColor="text1"/>
          <w:sz w:val="24"/>
          <w:szCs w:val="24"/>
        </w:rPr>
        <w:t xml:space="preserve"> </w:t>
      </w:r>
      <w:r w:rsidR="3BECE698" w:rsidRPr="41A2087F">
        <w:rPr>
          <w:rFonts w:ascii="Times New Roman" w:eastAsia="Times New Roman" w:hAnsi="Times New Roman"/>
          <w:color w:val="000000" w:themeColor="text1"/>
          <w:sz w:val="24"/>
          <w:szCs w:val="24"/>
        </w:rPr>
        <w:t>recommendation</w:t>
      </w:r>
      <w:r w:rsidR="2F4E7DB6" w:rsidRPr="41A2087F">
        <w:rPr>
          <w:rFonts w:ascii="Times New Roman" w:eastAsia="Times New Roman" w:hAnsi="Times New Roman"/>
          <w:color w:val="000000" w:themeColor="text1"/>
          <w:sz w:val="24"/>
          <w:szCs w:val="24"/>
        </w:rPr>
        <w:t xml:space="preserve"> </w:t>
      </w:r>
      <w:r w:rsidR="0AA819EB" w:rsidRPr="41A2087F">
        <w:rPr>
          <w:rFonts w:ascii="Times New Roman" w:eastAsia="Times New Roman" w:hAnsi="Times New Roman"/>
          <w:color w:val="000000" w:themeColor="text1"/>
          <w:sz w:val="24"/>
          <w:szCs w:val="24"/>
        </w:rPr>
        <w:t xml:space="preserve">but </w:t>
      </w:r>
      <w:r w:rsidR="61CEE847" w:rsidRPr="41A2087F">
        <w:rPr>
          <w:rFonts w:ascii="Times New Roman" w:eastAsia="Times New Roman" w:hAnsi="Times New Roman"/>
          <w:color w:val="000000" w:themeColor="text1"/>
          <w:sz w:val="24"/>
          <w:szCs w:val="24"/>
        </w:rPr>
        <w:t xml:space="preserve">estimates that it </w:t>
      </w:r>
      <w:r w:rsidR="0AA819EB" w:rsidRPr="41A2087F">
        <w:rPr>
          <w:rFonts w:ascii="Times New Roman" w:eastAsia="Times New Roman" w:hAnsi="Times New Roman"/>
          <w:color w:val="000000" w:themeColor="text1"/>
          <w:sz w:val="24"/>
          <w:szCs w:val="24"/>
        </w:rPr>
        <w:t>will take one year to implement</w:t>
      </w:r>
      <w:r w:rsidR="6873D4E3" w:rsidRPr="41A2087F">
        <w:rPr>
          <w:rFonts w:ascii="Times New Roman" w:eastAsia="Times New Roman" w:hAnsi="Times New Roman"/>
          <w:color w:val="000000" w:themeColor="text1"/>
          <w:sz w:val="24"/>
          <w:szCs w:val="24"/>
        </w:rPr>
        <w:t xml:space="preserve">, </w:t>
      </w:r>
      <w:r w:rsidR="52B8984D" w:rsidRPr="41A2087F">
        <w:rPr>
          <w:rFonts w:ascii="Times New Roman" w:eastAsia="Times New Roman" w:hAnsi="Times New Roman"/>
          <w:color w:val="000000" w:themeColor="text1"/>
          <w:sz w:val="24"/>
          <w:szCs w:val="24"/>
        </w:rPr>
        <w:t xml:space="preserve">since IT </w:t>
      </w:r>
      <w:r w:rsidR="73E13126" w:rsidRPr="41A2087F">
        <w:rPr>
          <w:rFonts w:ascii="Times New Roman" w:eastAsia="Times New Roman" w:hAnsi="Times New Roman"/>
          <w:color w:val="000000" w:themeColor="text1"/>
          <w:sz w:val="24"/>
          <w:szCs w:val="24"/>
        </w:rPr>
        <w:t>must</w:t>
      </w:r>
      <w:r w:rsidR="52B8984D" w:rsidRPr="41A2087F">
        <w:rPr>
          <w:rFonts w:ascii="Times New Roman" w:eastAsia="Times New Roman" w:hAnsi="Times New Roman"/>
          <w:color w:val="000000" w:themeColor="text1"/>
          <w:sz w:val="24"/>
          <w:szCs w:val="24"/>
        </w:rPr>
        <w:t xml:space="preserve"> create auto</w:t>
      </w:r>
      <w:r w:rsidR="00C61D8E">
        <w:rPr>
          <w:rFonts w:ascii="Times New Roman" w:eastAsia="Times New Roman" w:hAnsi="Times New Roman"/>
          <w:color w:val="000000" w:themeColor="text1"/>
          <w:sz w:val="24"/>
          <w:szCs w:val="24"/>
        </w:rPr>
        <w:t>-</w:t>
      </w:r>
      <w:r w:rsidR="52B8984D" w:rsidRPr="41A2087F">
        <w:rPr>
          <w:rFonts w:ascii="Times New Roman" w:eastAsia="Times New Roman" w:hAnsi="Times New Roman"/>
          <w:color w:val="000000" w:themeColor="text1"/>
          <w:sz w:val="24"/>
          <w:szCs w:val="24"/>
        </w:rPr>
        <w:t>generated work orders.</w:t>
      </w:r>
      <w:r w:rsidRPr="41A2087F">
        <w:rPr>
          <w:rStyle w:val="FootnoteReference"/>
          <w:rFonts w:ascii="Times New Roman" w:eastAsia="Times New Roman" w:hAnsi="Times New Roman"/>
          <w:color w:val="000000" w:themeColor="text1"/>
          <w:sz w:val="24"/>
          <w:szCs w:val="24"/>
        </w:rPr>
        <w:footnoteReference w:id="82"/>
      </w:r>
    </w:p>
    <w:p w14:paraId="67641B66" w14:textId="59B92ABC" w:rsidR="736FC783" w:rsidRDefault="2607641B" w:rsidP="009C6D33">
      <w:pPr>
        <w:pStyle w:val="ListParagraph"/>
        <w:numPr>
          <w:ilvl w:val="0"/>
          <w:numId w:val="2"/>
        </w:numPr>
        <w:spacing w:after="0" w:line="480" w:lineRule="auto"/>
        <w:jc w:val="both"/>
        <w:rPr>
          <w:rFonts w:ascii="Times New Roman" w:eastAsia="Times New Roman" w:hAnsi="Times New Roman"/>
          <w:color w:val="000000" w:themeColor="text1"/>
          <w:sz w:val="24"/>
          <w:szCs w:val="24"/>
        </w:rPr>
      </w:pPr>
      <w:r w:rsidRPr="41A2087F">
        <w:rPr>
          <w:rFonts w:ascii="Times New Roman" w:eastAsia="Times New Roman" w:hAnsi="Times New Roman"/>
          <w:color w:val="000000" w:themeColor="text1"/>
          <w:sz w:val="24"/>
          <w:szCs w:val="24"/>
        </w:rPr>
        <w:t xml:space="preserve">Evaluate </w:t>
      </w:r>
      <w:r w:rsidR="52370C03" w:rsidRPr="41A2087F">
        <w:rPr>
          <w:rFonts w:ascii="Times New Roman" w:eastAsia="Times New Roman" w:hAnsi="Times New Roman"/>
          <w:color w:val="000000" w:themeColor="text1"/>
          <w:sz w:val="24"/>
          <w:szCs w:val="24"/>
        </w:rPr>
        <w:t>alternative</w:t>
      </w:r>
      <w:r w:rsidRPr="41A2087F">
        <w:rPr>
          <w:rFonts w:ascii="Times New Roman" w:eastAsia="Times New Roman" w:hAnsi="Times New Roman"/>
          <w:color w:val="000000" w:themeColor="text1"/>
          <w:sz w:val="24"/>
          <w:szCs w:val="24"/>
        </w:rPr>
        <w:t xml:space="preserve"> locksets or security technologies that include electronic locks and keys.</w:t>
      </w:r>
      <w:r w:rsidRPr="41A2087F">
        <w:rPr>
          <w:rStyle w:val="FootnoteReference"/>
          <w:rFonts w:ascii="Times New Roman" w:eastAsia="Times New Roman" w:hAnsi="Times New Roman"/>
          <w:color w:val="000000" w:themeColor="text1"/>
          <w:sz w:val="24"/>
          <w:szCs w:val="24"/>
        </w:rPr>
        <w:footnoteReference w:id="83"/>
      </w:r>
      <w:r w:rsidRPr="41A2087F">
        <w:rPr>
          <w:rFonts w:ascii="Times New Roman" w:eastAsia="Times New Roman" w:hAnsi="Times New Roman"/>
          <w:color w:val="000000" w:themeColor="text1"/>
          <w:sz w:val="24"/>
          <w:szCs w:val="24"/>
        </w:rPr>
        <w:t xml:space="preserve"> However, in the immediate future, NYCHA is r</w:t>
      </w:r>
      <w:r w:rsidR="2643E6F1" w:rsidRPr="41A2087F">
        <w:rPr>
          <w:rFonts w:ascii="Times New Roman" w:eastAsia="Times New Roman" w:hAnsi="Times New Roman"/>
          <w:color w:val="000000" w:themeColor="text1"/>
          <w:sz w:val="24"/>
          <w:szCs w:val="24"/>
        </w:rPr>
        <w:t xml:space="preserve">equired to have at least </w:t>
      </w:r>
      <w:r w:rsidR="56132001" w:rsidRPr="41A2087F">
        <w:rPr>
          <w:rFonts w:ascii="Times New Roman" w:eastAsia="Times New Roman" w:hAnsi="Times New Roman"/>
          <w:color w:val="000000" w:themeColor="text1"/>
          <w:sz w:val="24"/>
          <w:szCs w:val="24"/>
        </w:rPr>
        <w:t>two</w:t>
      </w:r>
      <w:r w:rsidR="4B97A8F8" w:rsidRPr="41A2087F">
        <w:rPr>
          <w:rFonts w:ascii="Times New Roman" w:eastAsia="Times New Roman" w:hAnsi="Times New Roman"/>
          <w:color w:val="000000" w:themeColor="text1"/>
          <w:sz w:val="24"/>
          <w:szCs w:val="24"/>
        </w:rPr>
        <w:t xml:space="preserve"> to </w:t>
      </w:r>
      <w:r w:rsidR="56132001" w:rsidRPr="41A2087F">
        <w:rPr>
          <w:rFonts w:ascii="Times New Roman" w:eastAsia="Times New Roman" w:hAnsi="Times New Roman"/>
          <w:color w:val="000000" w:themeColor="text1"/>
          <w:sz w:val="24"/>
          <w:szCs w:val="24"/>
        </w:rPr>
        <w:t>three versions of the move</w:t>
      </w:r>
      <w:r w:rsidR="003675C7">
        <w:rPr>
          <w:rFonts w:ascii="Times New Roman" w:eastAsia="Times New Roman" w:hAnsi="Times New Roman"/>
          <w:color w:val="000000" w:themeColor="text1"/>
          <w:sz w:val="24"/>
          <w:szCs w:val="24"/>
        </w:rPr>
        <w:t>-</w:t>
      </w:r>
      <w:r w:rsidR="56132001" w:rsidRPr="41A2087F">
        <w:rPr>
          <w:rFonts w:ascii="Times New Roman" w:eastAsia="Times New Roman" w:hAnsi="Times New Roman"/>
          <w:color w:val="000000" w:themeColor="text1"/>
          <w:sz w:val="24"/>
          <w:szCs w:val="24"/>
        </w:rPr>
        <w:t>out keys with no two developments using the same key versions.</w:t>
      </w:r>
      <w:r w:rsidRPr="41A2087F">
        <w:rPr>
          <w:rStyle w:val="FootnoteReference"/>
          <w:rFonts w:ascii="Times New Roman" w:eastAsia="Times New Roman" w:hAnsi="Times New Roman"/>
          <w:color w:val="000000" w:themeColor="text1"/>
          <w:sz w:val="24"/>
          <w:szCs w:val="24"/>
        </w:rPr>
        <w:footnoteReference w:id="84"/>
      </w:r>
      <w:r w:rsidR="56132001" w:rsidRPr="41A2087F">
        <w:rPr>
          <w:rFonts w:ascii="Times New Roman" w:eastAsia="Times New Roman" w:hAnsi="Times New Roman"/>
          <w:color w:val="000000" w:themeColor="text1"/>
          <w:sz w:val="24"/>
          <w:szCs w:val="24"/>
        </w:rPr>
        <w:t xml:space="preserve"> NYCHA accepts this recommendation.</w:t>
      </w:r>
      <w:r w:rsidRPr="41A2087F">
        <w:rPr>
          <w:rStyle w:val="FootnoteReference"/>
          <w:rFonts w:ascii="Times New Roman" w:eastAsia="Times New Roman" w:hAnsi="Times New Roman"/>
          <w:color w:val="000000" w:themeColor="text1"/>
          <w:sz w:val="24"/>
          <w:szCs w:val="24"/>
        </w:rPr>
        <w:footnoteReference w:id="85"/>
      </w:r>
      <w:r w:rsidR="56132001" w:rsidRPr="41A2087F">
        <w:rPr>
          <w:rFonts w:ascii="Times New Roman" w:eastAsia="Times New Roman" w:hAnsi="Times New Roman"/>
          <w:color w:val="000000" w:themeColor="text1"/>
          <w:sz w:val="24"/>
          <w:szCs w:val="24"/>
        </w:rPr>
        <w:t xml:space="preserve"> </w:t>
      </w:r>
    </w:p>
    <w:p w14:paraId="18126AA9" w14:textId="2B51B7BD" w:rsidR="736FC783" w:rsidRDefault="56132001" w:rsidP="009C6D33">
      <w:pPr>
        <w:pStyle w:val="ListParagraph"/>
        <w:numPr>
          <w:ilvl w:val="0"/>
          <w:numId w:val="2"/>
        </w:numPr>
        <w:spacing w:after="0" w:line="480" w:lineRule="auto"/>
        <w:jc w:val="both"/>
        <w:rPr>
          <w:rFonts w:ascii="Times New Roman" w:eastAsia="Times New Roman" w:hAnsi="Times New Roman"/>
          <w:color w:val="000000" w:themeColor="text1"/>
          <w:sz w:val="24"/>
          <w:szCs w:val="24"/>
        </w:rPr>
      </w:pPr>
      <w:r w:rsidRPr="41A2087F">
        <w:rPr>
          <w:rFonts w:ascii="Times New Roman" w:eastAsia="Times New Roman" w:hAnsi="Times New Roman"/>
          <w:color w:val="000000" w:themeColor="text1"/>
          <w:sz w:val="24"/>
          <w:szCs w:val="24"/>
        </w:rPr>
        <w:t>Improve the guidelines for Resident Watch to require volunteers to report suspected unauthorized occupants or illegal activities in vacant apartments to the Resident Watch Superviso</w:t>
      </w:r>
      <w:r w:rsidR="1BE78148" w:rsidRPr="41A2087F">
        <w:rPr>
          <w:rFonts w:ascii="Times New Roman" w:eastAsia="Times New Roman" w:hAnsi="Times New Roman"/>
          <w:color w:val="000000" w:themeColor="text1"/>
          <w:sz w:val="24"/>
          <w:szCs w:val="24"/>
        </w:rPr>
        <w:t>r</w:t>
      </w:r>
      <w:r w:rsidR="0383D278" w:rsidRPr="41A2087F">
        <w:rPr>
          <w:rFonts w:ascii="Times New Roman" w:eastAsia="Times New Roman" w:hAnsi="Times New Roman"/>
          <w:color w:val="000000" w:themeColor="text1"/>
          <w:sz w:val="24"/>
          <w:szCs w:val="24"/>
        </w:rPr>
        <w:t>,</w:t>
      </w:r>
      <w:r w:rsidR="1BE78148" w:rsidRPr="41A2087F">
        <w:rPr>
          <w:rFonts w:ascii="Times New Roman" w:eastAsia="Times New Roman" w:hAnsi="Times New Roman"/>
          <w:color w:val="000000" w:themeColor="text1"/>
          <w:sz w:val="24"/>
          <w:szCs w:val="24"/>
        </w:rPr>
        <w:t xml:space="preserve"> who </w:t>
      </w:r>
      <w:r w:rsidR="1E816BFD" w:rsidRPr="41A2087F">
        <w:rPr>
          <w:rFonts w:ascii="Times New Roman" w:eastAsia="Times New Roman" w:hAnsi="Times New Roman"/>
          <w:color w:val="000000" w:themeColor="text1"/>
          <w:sz w:val="24"/>
          <w:szCs w:val="24"/>
        </w:rPr>
        <w:t xml:space="preserve">then </w:t>
      </w:r>
      <w:r w:rsidR="1BE78148" w:rsidRPr="41A2087F">
        <w:rPr>
          <w:rFonts w:ascii="Times New Roman" w:eastAsia="Times New Roman" w:hAnsi="Times New Roman"/>
          <w:color w:val="000000" w:themeColor="text1"/>
          <w:sz w:val="24"/>
          <w:szCs w:val="24"/>
        </w:rPr>
        <w:t>must inform Property Management</w:t>
      </w:r>
      <w:r w:rsidR="7A014E13" w:rsidRPr="41A2087F">
        <w:rPr>
          <w:rFonts w:ascii="Times New Roman" w:eastAsia="Times New Roman" w:hAnsi="Times New Roman"/>
          <w:color w:val="000000" w:themeColor="text1"/>
          <w:sz w:val="24"/>
          <w:szCs w:val="24"/>
        </w:rPr>
        <w:t xml:space="preserve"> by the end of the shift and report it on the </w:t>
      </w:r>
      <w:r w:rsidR="00584B06" w:rsidRPr="41A2087F">
        <w:rPr>
          <w:rFonts w:ascii="Times New Roman" w:eastAsia="Times New Roman" w:hAnsi="Times New Roman"/>
          <w:color w:val="000000" w:themeColor="text1"/>
          <w:sz w:val="24"/>
          <w:szCs w:val="24"/>
        </w:rPr>
        <w:t>Quality-of-Life</w:t>
      </w:r>
      <w:r w:rsidR="7A014E13" w:rsidRPr="41A2087F">
        <w:rPr>
          <w:rFonts w:ascii="Times New Roman" w:eastAsia="Times New Roman" w:hAnsi="Times New Roman"/>
          <w:color w:val="000000" w:themeColor="text1"/>
          <w:sz w:val="24"/>
          <w:szCs w:val="24"/>
        </w:rPr>
        <w:t xml:space="preserve"> Form.</w:t>
      </w:r>
      <w:r w:rsidRPr="41A2087F">
        <w:rPr>
          <w:rStyle w:val="FootnoteReference"/>
          <w:rFonts w:ascii="Times New Roman" w:eastAsia="Times New Roman" w:hAnsi="Times New Roman"/>
          <w:color w:val="000000" w:themeColor="text1"/>
          <w:sz w:val="24"/>
          <w:szCs w:val="24"/>
        </w:rPr>
        <w:footnoteReference w:id="86"/>
      </w:r>
      <w:r w:rsidR="7A014E13" w:rsidRPr="41A2087F">
        <w:rPr>
          <w:rFonts w:ascii="Times New Roman" w:eastAsia="Times New Roman" w:hAnsi="Times New Roman"/>
          <w:color w:val="000000" w:themeColor="text1"/>
          <w:sz w:val="24"/>
          <w:szCs w:val="24"/>
        </w:rPr>
        <w:t xml:space="preserve"> NYCHA should train volunteers on this </w:t>
      </w:r>
      <w:r w:rsidR="7A014E13" w:rsidRPr="41A2087F">
        <w:rPr>
          <w:rFonts w:ascii="Times New Roman" w:eastAsia="Times New Roman" w:hAnsi="Times New Roman"/>
          <w:color w:val="000000" w:themeColor="text1"/>
          <w:sz w:val="24"/>
          <w:szCs w:val="24"/>
        </w:rPr>
        <w:lastRenderedPageBreak/>
        <w:t xml:space="preserve">requirement. NYCHA accepts the recommendation but estimates </w:t>
      </w:r>
      <w:r w:rsidR="203AD9C0" w:rsidRPr="41A2087F">
        <w:rPr>
          <w:rFonts w:ascii="Times New Roman" w:eastAsia="Times New Roman" w:hAnsi="Times New Roman"/>
          <w:color w:val="000000" w:themeColor="text1"/>
          <w:sz w:val="24"/>
          <w:szCs w:val="24"/>
        </w:rPr>
        <w:t xml:space="preserve">that it will take </w:t>
      </w:r>
      <w:r w:rsidR="7A014E13" w:rsidRPr="41A2087F">
        <w:rPr>
          <w:rFonts w:ascii="Times New Roman" w:eastAsia="Times New Roman" w:hAnsi="Times New Roman"/>
          <w:color w:val="000000" w:themeColor="text1"/>
          <w:sz w:val="24"/>
          <w:szCs w:val="24"/>
        </w:rPr>
        <w:t xml:space="preserve">six months to one year to modify the </w:t>
      </w:r>
      <w:r w:rsidR="00584B06" w:rsidRPr="41A2087F">
        <w:rPr>
          <w:rFonts w:ascii="Times New Roman" w:eastAsia="Times New Roman" w:hAnsi="Times New Roman"/>
          <w:color w:val="000000" w:themeColor="text1"/>
          <w:sz w:val="24"/>
          <w:szCs w:val="24"/>
        </w:rPr>
        <w:t>Quality-of-Life</w:t>
      </w:r>
      <w:r w:rsidR="7A014E13" w:rsidRPr="41A2087F">
        <w:rPr>
          <w:rFonts w:ascii="Times New Roman" w:eastAsia="Times New Roman" w:hAnsi="Times New Roman"/>
          <w:color w:val="000000" w:themeColor="text1"/>
          <w:sz w:val="24"/>
          <w:szCs w:val="24"/>
        </w:rPr>
        <w:t xml:space="preserve"> Form</w:t>
      </w:r>
      <w:r w:rsidR="16519685" w:rsidRPr="41A2087F">
        <w:rPr>
          <w:rFonts w:ascii="Times New Roman" w:eastAsia="Times New Roman" w:hAnsi="Times New Roman"/>
          <w:color w:val="000000" w:themeColor="text1"/>
          <w:sz w:val="24"/>
          <w:szCs w:val="24"/>
        </w:rPr>
        <w:t>,</w:t>
      </w:r>
      <w:r w:rsidR="7A014E13" w:rsidRPr="41A2087F">
        <w:rPr>
          <w:rFonts w:ascii="Times New Roman" w:eastAsia="Times New Roman" w:hAnsi="Times New Roman"/>
          <w:color w:val="000000" w:themeColor="text1"/>
          <w:sz w:val="24"/>
          <w:szCs w:val="24"/>
        </w:rPr>
        <w:t xml:space="preserve"> since IT must enhance it.</w:t>
      </w:r>
      <w:r w:rsidRPr="41A2087F">
        <w:rPr>
          <w:rStyle w:val="FootnoteReference"/>
          <w:rFonts w:ascii="Times New Roman" w:eastAsia="Times New Roman" w:hAnsi="Times New Roman"/>
          <w:color w:val="000000" w:themeColor="text1"/>
          <w:sz w:val="24"/>
          <w:szCs w:val="24"/>
        </w:rPr>
        <w:footnoteReference w:id="87"/>
      </w:r>
      <w:r w:rsidR="7A014E13" w:rsidRPr="41A2087F">
        <w:rPr>
          <w:rFonts w:ascii="Times New Roman" w:eastAsia="Times New Roman" w:hAnsi="Times New Roman"/>
          <w:color w:val="000000" w:themeColor="text1"/>
          <w:sz w:val="24"/>
          <w:szCs w:val="24"/>
        </w:rPr>
        <w:t xml:space="preserve"> </w:t>
      </w:r>
    </w:p>
    <w:p w14:paraId="30368B67" w14:textId="1DC90FB6" w:rsidR="736FC783" w:rsidRDefault="0B842106" w:rsidP="009C6D33">
      <w:pPr>
        <w:pStyle w:val="ListParagraph"/>
        <w:numPr>
          <w:ilvl w:val="0"/>
          <w:numId w:val="2"/>
        </w:numPr>
        <w:spacing w:after="0" w:line="480" w:lineRule="auto"/>
        <w:jc w:val="both"/>
        <w:rPr>
          <w:rFonts w:ascii="Times New Roman" w:eastAsia="Times New Roman" w:hAnsi="Times New Roman"/>
          <w:color w:val="000000" w:themeColor="text1"/>
          <w:sz w:val="24"/>
          <w:szCs w:val="24"/>
        </w:rPr>
      </w:pPr>
      <w:r w:rsidRPr="41A2087F">
        <w:rPr>
          <w:rFonts w:ascii="Times New Roman" w:eastAsia="Times New Roman" w:hAnsi="Times New Roman"/>
          <w:color w:val="000000" w:themeColor="text1"/>
          <w:sz w:val="24"/>
          <w:szCs w:val="24"/>
        </w:rPr>
        <w:t>Once the Property Manager receives a report from the Resident Watch Supervisors, Property Management should confirm the information as soon as possible and</w:t>
      </w:r>
      <w:r w:rsidR="5955D139" w:rsidRPr="41A2087F">
        <w:rPr>
          <w:rFonts w:ascii="Times New Roman" w:eastAsia="Times New Roman" w:hAnsi="Times New Roman"/>
          <w:color w:val="000000" w:themeColor="text1"/>
          <w:sz w:val="24"/>
          <w:szCs w:val="24"/>
        </w:rPr>
        <w:t>,</w:t>
      </w:r>
      <w:r w:rsidRPr="41A2087F">
        <w:rPr>
          <w:rFonts w:ascii="Times New Roman" w:eastAsia="Times New Roman" w:hAnsi="Times New Roman"/>
          <w:color w:val="000000" w:themeColor="text1"/>
          <w:sz w:val="24"/>
          <w:szCs w:val="24"/>
        </w:rPr>
        <w:t xml:space="preserve"> if verified</w:t>
      </w:r>
      <w:r w:rsidR="76F47356" w:rsidRPr="41A2087F">
        <w:rPr>
          <w:rFonts w:ascii="Times New Roman" w:eastAsia="Times New Roman" w:hAnsi="Times New Roman"/>
          <w:color w:val="000000" w:themeColor="text1"/>
          <w:sz w:val="24"/>
          <w:szCs w:val="24"/>
        </w:rPr>
        <w:t>,</w:t>
      </w:r>
      <w:r w:rsidRPr="41A2087F">
        <w:rPr>
          <w:rFonts w:ascii="Times New Roman" w:eastAsia="Times New Roman" w:hAnsi="Times New Roman"/>
          <w:color w:val="000000" w:themeColor="text1"/>
          <w:sz w:val="24"/>
          <w:szCs w:val="24"/>
        </w:rPr>
        <w:t xml:space="preserve"> report it to NYCHA</w:t>
      </w:r>
      <w:r w:rsidR="7630210A" w:rsidRPr="41A2087F">
        <w:rPr>
          <w:rFonts w:ascii="Times New Roman" w:eastAsia="Times New Roman" w:hAnsi="Times New Roman"/>
          <w:color w:val="000000" w:themeColor="text1"/>
          <w:sz w:val="24"/>
          <w:szCs w:val="24"/>
        </w:rPr>
        <w:t>’s</w:t>
      </w:r>
      <w:r w:rsidRPr="41A2087F">
        <w:rPr>
          <w:rFonts w:ascii="Times New Roman" w:eastAsia="Times New Roman" w:hAnsi="Times New Roman"/>
          <w:color w:val="000000" w:themeColor="text1"/>
          <w:sz w:val="24"/>
          <w:szCs w:val="24"/>
        </w:rPr>
        <w:t xml:space="preserve"> L</w:t>
      </w:r>
      <w:r w:rsidR="4753CEB2" w:rsidRPr="41A2087F">
        <w:rPr>
          <w:rFonts w:ascii="Times New Roman" w:eastAsia="Times New Roman" w:hAnsi="Times New Roman"/>
          <w:color w:val="000000" w:themeColor="text1"/>
          <w:sz w:val="24"/>
          <w:szCs w:val="24"/>
        </w:rPr>
        <w:t>a</w:t>
      </w:r>
      <w:r w:rsidRPr="41A2087F">
        <w:rPr>
          <w:rFonts w:ascii="Times New Roman" w:eastAsia="Times New Roman" w:hAnsi="Times New Roman"/>
          <w:color w:val="000000" w:themeColor="text1"/>
          <w:sz w:val="24"/>
          <w:szCs w:val="24"/>
        </w:rPr>
        <w:t>w Department with</w:t>
      </w:r>
      <w:r w:rsidR="379E91D9" w:rsidRPr="41A2087F">
        <w:rPr>
          <w:rFonts w:ascii="Times New Roman" w:eastAsia="Times New Roman" w:hAnsi="Times New Roman"/>
          <w:color w:val="000000" w:themeColor="text1"/>
          <w:sz w:val="24"/>
          <w:szCs w:val="24"/>
        </w:rPr>
        <w:t>in 72 Hours.</w:t>
      </w:r>
      <w:r w:rsidRPr="41A2087F">
        <w:rPr>
          <w:rStyle w:val="FootnoteReference"/>
          <w:rFonts w:ascii="Times New Roman" w:eastAsia="Times New Roman" w:hAnsi="Times New Roman"/>
          <w:color w:val="000000" w:themeColor="text1"/>
          <w:sz w:val="24"/>
          <w:szCs w:val="24"/>
        </w:rPr>
        <w:footnoteReference w:id="88"/>
      </w:r>
      <w:r w:rsidR="379E91D9" w:rsidRPr="41A2087F">
        <w:rPr>
          <w:rFonts w:ascii="Times New Roman" w:eastAsia="Times New Roman" w:hAnsi="Times New Roman"/>
          <w:color w:val="000000" w:themeColor="text1"/>
          <w:sz w:val="24"/>
          <w:szCs w:val="24"/>
        </w:rPr>
        <w:t xml:space="preserve"> NYCHA accepts this recommendation.</w:t>
      </w:r>
      <w:r w:rsidRPr="41A2087F">
        <w:rPr>
          <w:rStyle w:val="FootnoteReference"/>
          <w:rFonts w:ascii="Times New Roman" w:eastAsia="Times New Roman" w:hAnsi="Times New Roman"/>
          <w:color w:val="000000" w:themeColor="text1"/>
          <w:sz w:val="24"/>
          <w:szCs w:val="24"/>
        </w:rPr>
        <w:footnoteReference w:id="89"/>
      </w:r>
      <w:r w:rsidR="379E91D9" w:rsidRPr="41A2087F">
        <w:rPr>
          <w:rFonts w:ascii="Times New Roman" w:eastAsia="Times New Roman" w:hAnsi="Times New Roman"/>
          <w:color w:val="000000" w:themeColor="text1"/>
          <w:sz w:val="24"/>
          <w:szCs w:val="24"/>
        </w:rPr>
        <w:t xml:space="preserve"> </w:t>
      </w:r>
    </w:p>
    <w:p w14:paraId="03194948" w14:textId="07EB0869" w:rsidR="736FC783" w:rsidRDefault="7660B482" w:rsidP="009C6D33">
      <w:pPr>
        <w:pStyle w:val="ListParagraph"/>
        <w:numPr>
          <w:ilvl w:val="0"/>
          <w:numId w:val="2"/>
        </w:numPr>
        <w:spacing w:after="0" w:line="480" w:lineRule="auto"/>
        <w:jc w:val="both"/>
        <w:rPr>
          <w:rFonts w:ascii="Times New Roman" w:eastAsia="Times New Roman" w:hAnsi="Times New Roman"/>
          <w:color w:val="000000" w:themeColor="text1"/>
          <w:sz w:val="24"/>
          <w:szCs w:val="24"/>
        </w:rPr>
      </w:pPr>
      <w:r w:rsidRPr="41A2087F">
        <w:rPr>
          <w:rFonts w:ascii="Times New Roman" w:eastAsia="Times New Roman" w:hAnsi="Times New Roman"/>
          <w:color w:val="000000" w:themeColor="text1"/>
          <w:sz w:val="24"/>
          <w:szCs w:val="24"/>
        </w:rPr>
        <w:t xml:space="preserve">If NYCHA receives additional funding to repair vacant apartments, </w:t>
      </w:r>
      <w:r w:rsidR="482117E6" w:rsidRPr="41A2087F">
        <w:rPr>
          <w:rFonts w:ascii="Times New Roman" w:eastAsia="Times New Roman" w:hAnsi="Times New Roman"/>
          <w:color w:val="000000" w:themeColor="text1"/>
          <w:sz w:val="24"/>
          <w:szCs w:val="24"/>
        </w:rPr>
        <w:t xml:space="preserve">such funding </w:t>
      </w:r>
      <w:r w:rsidRPr="41A2087F">
        <w:rPr>
          <w:rFonts w:ascii="Times New Roman" w:eastAsia="Times New Roman" w:hAnsi="Times New Roman"/>
          <w:color w:val="000000" w:themeColor="text1"/>
          <w:sz w:val="24"/>
          <w:szCs w:val="24"/>
        </w:rPr>
        <w:t xml:space="preserve">should be used to shorten the </w:t>
      </w:r>
      <w:r w:rsidR="60D43A4B" w:rsidRPr="41A2087F">
        <w:rPr>
          <w:rFonts w:ascii="Times New Roman" w:eastAsia="Times New Roman" w:hAnsi="Times New Roman"/>
          <w:color w:val="000000" w:themeColor="text1"/>
          <w:sz w:val="24"/>
          <w:szCs w:val="24"/>
        </w:rPr>
        <w:t xml:space="preserve">time it takes </w:t>
      </w:r>
      <w:r w:rsidRPr="41A2087F">
        <w:rPr>
          <w:rFonts w:ascii="Times New Roman" w:eastAsia="Times New Roman" w:hAnsi="Times New Roman"/>
          <w:color w:val="000000" w:themeColor="text1"/>
          <w:sz w:val="24"/>
          <w:szCs w:val="24"/>
        </w:rPr>
        <w:t>to repair the apartments.</w:t>
      </w:r>
      <w:r w:rsidRPr="41A2087F">
        <w:rPr>
          <w:rStyle w:val="FootnoteReference"/>
          <w:rFonts w:ascii="Times New Roman" w:eastAsia="Times New Roman" w:hAnsi="Times New Roman"/>
          <w:color w:val="000000" w:themeColor="text1"/>
          <w:sz w:val="24"/>
          <w:szCs w:val="24"/>
        </w:rPr>
        <w:footnoteReference w:id="90"/>
      </w:r>
      <w:r w:rsidRPr="41A2087F">
        <w:rPr>
          <w:rFonts w:ascii="Times New Roman" w:eastAsia="Times New Roman" w:hAnsi="Times New Roman"/>
          <w:color w:val="000000" w:themeColor="text1"/>
          <w:sz w:val="24"/>
          <w:szCs w:val="24"/>
        </w:rPr>
        <w:t xml:space="preserve"> NYCHA accepts but </w:t>
      </w:r>
      <w:r w:rsidR="2A47EC8C" w:rsidRPr="41A2087F">
        <w:rPr>
          <w:rFonts w:ascii="Times New Roman" w:eastAsia="Times New Roman" w:hAnsi="Times New Roman"/>
          <w:color w:val="000000" w:themeColor="text1"/>
          <w:sz w:val="24"/>
          <w:szCs w:val="24"/>
        </w:rPr>
        <w:t xml:space="preserve">notes that </w:t>
      </w:r>
      <w:r w:rsidRPr="41A2087F">
        <w:rPr>
          <w:rFonts w:ascii="Times New Roman" w:eastAsia="Times New Roman" w:hAnsi="Times New Roman"/>
          <w:color w:val="000000" w:themeColor="text1"/>
          <w:sz w:val="24"/>
          <w:szCs w:val="24"/>
        </w:rPr>
        <w:t xml:space="preserve">it </w:t>
      </w:r>
      <w:r w:rsidR="0E17F026" w:rsidRPr="41A2087F">
        <w:rPr>
          <w:rFonts w:ascii="Times New Roman" w:eastAsia="Times New Roman" w:hAnsi="Times New Roman"/>
          <w:color w:val="000000" w:themeColor="text1"/>
          <w:sz w:val="24"/>
          <w:szCs w:val="24"/>
        </w:rPr>
        <w:t xml:space="preserve">is </w:t>
      </w:r>
      <w:r w:rsidRPr="41A2087F">
        <w:rPr>
          <w:rFonts w:ascii="Times New Roman" w:eastAsia="Times New Roman" w:hAnsi="Times New Roman"/>
          <w:color w:val="000000" w:themeColor="text1"/>
          <w:sz w:val="24"/>
          <w:szCs w:val="24"/>
        </w:rPr>
        <w:t>subject to funding.</w:t>
      </w:r>
      <w:r w:rsidRPr="41A2087F">
        <w:rPr>
          <w:rStyle w:val="FootnoteReference"/>
          <w:rFonts w:ascii="Times New Roman" w:eastAsia="Times New Roman" w:hAnsi="Times New Roman"/>
          <w:color w:val="000000" w:themeColor="text1"/>
          <w:sz w:val="24"/>
          <w:szCs w:val="24"/>
        </w:rPr>
        <w:footnoteReference w:id="91"/>
      </w:r>
    </w:p>
    <w:p w14:paraId="217B257C" w14:textId="77777777" w:rsidR="00B155CE" w:rsidRPr="00B155CE" w:rsidRDefault="00B155CE" w:rsidP="009C6D33">
      <w:pPr>
        <w:pStyle w:val="ListParagraph"/>
        <w:keepNext/>
        <w:numPr>
          <w:ilvl w:val="0"/>
          <w:numId w:val="9"/>
        </w:numPr>
        <w:spacing w:after="0" w:line="480" w:lineRule="auto"/>
        <w:jc w:val="both"/>
        <w:rPr>
          <w:rFonts w:ascii="Times New Roman" w:hAnsi="Times New Roman"/>
          <w:b/>
          <w:bCs/>
          <w:sz w:val="24"/>
          <w:szCs w:val="24"/>
        </w:rPr>
      </w:pPr>
      <w:r>
        <w:rPr>
          <w:rFonts w:ascii="Times New Roman" w:hAnsi="Times New Roman"/>
          <w:b/>
          <w:bCs/>
          <w:sz w:val="24"/>
          <w:szCs w:val="24"/>
        </w:rPr>
        <w:t>CONCLUSION</w:t>
      </w:r>
    </w:p>
    <w:p w14:paraId="2D63A302" w14:textId="4F9C6839" w:rsidR="00F7760B" w:rsidRPr="00F7760B" w:rsidRDefault="00254C1C" w:rsidP="0F277EC4">
      <w:pPr>
        <w:spacing w:line="480" w:lineRule="auto"/>
        <w:ind w:firstLine="720"/>
        <w:jc w:val="both"/>
        <w:rPr>
          <w:rFonts w:cs="Times New Roman"/>
        </w:rPr>
      </w:pPr>
      <w:r w:rsidRPr="1B98C316">
        <w:rPr>
          <w:rFonts w:cs="Times New Roman"/>
        </w:rPr>
        <w:t>The vacant apartments in NYCHA’s portfolio are</w:t>
      </w:r>
      <w:r w:rsidR="002C3002" w:rsidRPr="1B98C316">
        <w:rPr>
          <w:rFonts w:cs="Times New Roman"/>
        </w:rPr>
        <w:t xml:space="preserve"> </w:t>
      </w:r>
      <w:r w:rsidR="009E6CA5" w:rsidRPr="1B98C316">
        <w:rPr>
          <w:rFonts w:cs="Times New Roman"/>
        </w:rPr>
        <w:t>important</w:t>
      </w:r>
      <w:r w:rsidR="002C3002" w:rsidRPr="1B98C316">
        <w:rPr>
          <w:rFonts w:cs="Times New Roman"/>
        </w:rPr>
        <w:t xml:space="preserve"> </w:t>
      </w:r>
      <w:r w:rsidR="009E6CA5" w:rsidRPr="1B98C316">
        <w:rPr>
          <w:rFonts w:cs="Times New Roman"/>
        </w:rPr>
        <w:t xml:space="preserve">for </w:t>
      </w:r>
      <w:r w:rsidR="00647D19" w:rsidRPr="1B98C316">
        <w:rPr>
          <w:rFonts w:cs="Times New Roman"/>
        </w:rPr>
        <w:t xml:space="preserve">resolving </w:t>
      </w:r>
      <w:r w:rsidR="002C3002" w:rsidRPr="1B98C316">
        <w:rPr>
          <w:rFonts w:cs="Times New Roman"/>
        </w:rPr>
        <w:t xml:space="preserve">the City’s housing affordability crisis. </w:t>
      </w:r>
      <w:r w:rsidR="00847DBE" w:rsidRPr="1B98C316">
        <w:rPr>
          <w:rFonts w:cs="Times New Roman"/>
        </w:rPr>
        <w:t xml:space="preserve">Ensuring those apartments are properly secured and promptly turned over is </w:t>
      </w:r>
      <w:r w:rsidR="004E286C" w:rsidRPr="1B98C316">
        <w:rPr>
          <w:rFonts w:cs="Times New Roman"/>
        </w:rPr>
        <w:t xml:space="preserve">necessary </w:t>
      </w:r>
      <w:r w:rsidR="00894DD5" w:rsidRPr="1B98C316">
        <w:rPr>
          <w:rFonts w:cs="Times New Roman"/>
        </w:rPr>
        <w:t xml:space="preserve">for contributing to </w:t>
      </w:r>
      <w:r w:rsidR="00C5390A" w:rsidRPr="1B98C316">
        <w:rPr>
          <w:rFonts w:cs="Times New Roman"/>
        </w:rPr>
        <w:t xml:space="preserve">the City’s overall </w:t>
      </w:r>
      <w:r w:rsidR="00894DD5" w:rsidRPr="1B98C316">
        <w:rPr>
          <w:rFonts w:cs="Times New Roman"/>
        </w:rPr>
        <w:t>housing affordability</w:t>
      </w:r>
      <w:r w:rsidR="009E6CA5" w:rsidRPr="1B98C316">
        <w:rPr>
          <w:rFonts w:cs="Times New Roman"/>
        </w:rPr>
        <w:t xml:space="preserve"> and, crucially, </w:t>
      </w:r>
      <w:r w:rsidR="00BD34A7" w:rsidRPr="1B98C316">
        <w:rPr>
          <w:rFonts w:cs="Times New Roman"/>
        </w:rPr>
        <w:t xml:space="preserve">the </w:t>
      </w:r>
      <w:r w:rsidR="00E67D79" w:rsidRPr="1B98C316">
        <w:rPr>
          <w:rFonts w:cs="Times New Roman"/>
        </w:rPr>
        <w:t xml:space="preserve">safety of existing NYCHA residents. </w:t>
      </w:r>
      <w:r w:rsidR="00667239" w:rsidRPr="1B98C316">
        <w:rPr>
          <w:rFonts w:cs="Times New Roman"/>
        </w:rPr>
        <w:t xml:space="preserve">The Committee expects to hear from NYCHA tenants on how their lives have been affected by </w:t>
      </w:r>
      <w:r w:rsidR="22A5B5B6" w:rsidRPr="1B98C316">
        <w:rPr>
          <w:rFonts w:cs="Times New Roman"/>
        </w:rPr>
        <w:t xml:space="preserve">security challenges and lapses related to </w:t>
      </w:r>
      <w:r w:rsidR="004F3B56" w:rsidRPr="1B98C316">
        <w:rPr>
          <w:rFonts w:cs="Times New Roman"/>
        </w:rPr>
        <w:t xml:space="preserve">vacant apartments. The Committee </w:t>
      </w:r>
      <w:r w:rsidR="00D37925" w:rsidRPr="1B98C316">
        <w:rPr>
          <w:rFonts w:cs="Times New Roman"/>
        </w:rPr>
        <w:t>is interested in learning about how NYCHA allowed these</w:t>
      </w:r>
      <w:r w:rsidR="00130050" w:rsidRPr="1B98C316">
        <w:rPr>
          <w:rFonts w:cs="Times New Roman"/>
        </w:rPr>
        <w:t xml:space="preserve"> vacant units to</w:t>
      </w:r>
      <w:r w:rsidR="00A47C5D" w:rsidRPr="1B98C316">
        <w:rPr>
          <w:rFonts w:cs="Times New Roman"/>
        </w:rPr>
        <w:t xml:space="preserve"> stay unsecured and what actions have been taken </w:t>
      </w:r>
      <w:r w:rsidR="003D1C72" w:rsidRPr="1B98C316">
        <w:rPr>
          <w:rFonts w:cs="Times New Roman"/>
        </w:rPr>
        <w:t xml:space="preserve">to resolve these issues </w:t>
      </w:r>
      <w:r w:rsidR="5C93C9A8" w:rsidRPr="1B98C316">
        <w:rPr>
          <w:rFonts w:cs="Times New Roman"/>
        </w:rPr>
        <w:t xml:space="preserve">in the time </w:t>
      </w:r>
      <w:r w:rsidR="00A47C5D" w:rsidRPr="1B98C316">
        <w:rPr>
          <w:rFonts w:cs="Times New Roman"/>
        </w:rPr>
        <w:t xml:space="preserve">since DOI’s </w:t>
      </w:r>
      <w:r w:rsidR="00F829C6" w:rsidRPr="1B98C316">
        <w:rPr>
          <w:rFonts w:cs="Times New Roman"/>
        </w:rPr>
        <w:t>investigation</w:t>
      </w:r>
      <w:r w:rsidR="001825E7" w:rsidRPr="1B98C316">
        <w:rPr>
          <w:rFonts w:cs="Times New Roman"/>
        </w:rPr>
        <w:t xml:space="preserve">. The Committee </w:t>
      </w:r>
      <w:r w:rsidR="3528B589" w:rsidRPr="1B98C316">
        <w:rPr>
          <w:rFonts w:cs="Times New Roman"/>
        </w:rPr>
        <w:t>also</w:t>
      </w:r>
      <w:r w:rsidR="006A068F" w:rsidRPr="1B98C316">
        <w:rPr>
          <w:rFonts w:cs="Times New Roman"/>
        </w:rPr>
        <w:t xml:space="preserve"> seek</w:t>
      </w:r>
      <w:r w:rsidR="2EF1690C" w:rsidRPr="1B98C316">
        <w:rPr>
          <w:rFonts w:cs="Times New Roman"/>
        </w:rPr>
        <w:t>s</w:t>
      </w:r>
      <w:r w:rsidR="006A068F" w:rsidRPr="1B98C316">
        <w:rPr>
          <w:rFonts w:cs="Times New Roman"/>
        </w:rPr>
        <w:t xml:space="preserve"> to understand </w:t>
      </w:r>
      <w:r w:rsidR="00345C65" w:rsidRPr="1B98C316">
        <w:rPr>
          <w:rFonts w:cs="Times New Roman"/>
        </w:rPr>
        <w:t xml:space="preserve">what NYCHA </w:t>
      </w:r>
      <w:r w:rsidR="00C15F52" w:rsidRPr="1B98C316">
        <w:rPr>
          <w:rFonts w:cs="Times New Roman"/>
        </w:rPr>
        <w:t xml:space="preserve">has done to </w:t>
      </w:r>
      <w:r w:rsidR="48C09A83" w:rsidRPr="1B98C316">
        <w:rPr>
          <w:rFonts w:cs="Times New Roman"/>
        </w:rPr>
        <w:t>communicate</w:t>
      </w:r>
      <w:r w:rsidR="771555F5" w:rsidRPr="1B98C316">
        <w:rPr>
          <w:rFonts w:cs="Times New Roman"/>
        </w:rPr>
        <w:t xml:space="preserve"> with residents about such </w:t>
      </w:r>
      <w:r w:rsidR="0220BA05" w:rsidRPr="1B98C316">
        <w:rPr>
          <w:rFonts w:cs="Times New Roman"/>
        </w:rPr>
        <w:t xml:space="preserve">security </w:t>
      </w:r>
      <w:r w:rsidR="771555F5" w:rsidRPr="1B98C316">
        <w:rPr>
          <w:rFonts w:cs="Times New Roman"/>
        </w:rPr>
        <w:t xml:space="preserve">issues </w:t>
      </w:r>
      <w:r w:rsidR="00837DE4" w:rsidRPr="1B98C316">
        <w:rPr>
          <w:rFonts w:cs="Times New Roman"/>
        </w:rPr>
        <w:t xml:space="preserve">and </w:t>
      </w:r>
      <w:r w:rsidR="00883879" w:rsidRPr="1B98C316">
        <w:rPr>
          <w:rFonts w:cs="Times New Roman"/>
        </w:rPr>
        <w:t xml:space="preserve">what it </w:t>
      </w:r>
      <w:r w:rsidR="00345C65" w:rsidRPr="1B98C316">
        <w:rPr>
          <w:rFonts w:cs="Times New Roman"/>
        </w:rPr>
        <w:t xml:space="preserve">plans to do </w:t>
      </w:r>
      <w:r w:rsidR="00C15F52" w:rsidRPr="1B98C316">
        <w:rPr>
          <w:rFonts w:cs="Times New Roman"/>
        </w:rPr>
        <w:t>to prevent</w:t>
      </w:r>
      <w:r w:rsidR="3C2D5F25" w:rsidRPr="1B98C316">
        <w:rPr>
          <w:rFonts w:cs="Times New Roman"/>
        </w:rPr>
        <w:t xml:space="preserve"> </w:t>
      </w:r>
      <w:r w:rsidR="5EB21DC3" w:rsidRPr="1B98C316">
        <w:rPr>
          <w:rFonts w:cs="Times New Roman"/>
        </w:rPr>
        <w:t xml:space="preserve">such security issues </w:t>
      </w:r>
      <w:r w:rsidR="00C15F52" w:rsidRPr="1B98C316">
        <w:rPr>
          <w:rFonts w:cs="Times New Roman"/>
        </w:rPr>
        <w:t>from occurring in the future</w:t>
      </w:r>
      <w:r w:rsidR="00757349" w:rsidRPr="1B98C316">
        <w:rPr>
          <w:rFonts w:cs="Times New Roman"/>
        </w:rPr>
        <w:t>.</w:t>
      </w:r>
    </w:p>
    <w:sectPr w:rsidR="00F7760B" w:rsidRPr="00F7760B" w:rsidSect="00826104">
      <w:footerReference w:type="defaul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CB27B" w14:textId="77777777" w:rsidR="00BC6A8B" w:rsidRDefault="00BC6A8B" w:rsidP="003B76BF">
      <w:pPr>
        <w:spacing w:after="0" w:line="240" w:lineRule="auto"/>
      </w:pPr>
      <w:r>
        <w:separator/>
      </w:r>
    </w:p>
  </w:endnote>
  <w:endnote w:type="continuationSeparator" w:id="0">
    <w:p w14:paraId="226B2A7A" w14:textId="77777777" w:rsidR="00BC6A8B" w:rsidRDefault="00BC6A8B" w:rsidP="003B7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617BE" w14:textId="75D5BB2E" w:rsidR="00826104" w:rsidRPr="004335FC" w:rsidRDefault="00826104">
    <w:pPr>
      <w:pStyle w:val="Footer"/>
      <w:jc w:val="center"/>
      <w:rPr>
        <w:rFonts w:ascii="Times New Roman" w:hAnsi="Times New Roman" w:cs="Times New Roman"/>
      </w:rPr>
    </w:pPr>
    <w:r w:rsidRPr="004335FC">
      <w:rPr>
        <w:rFonts w:ascii="Times New Roman" w:hAnsi="Times New Roman" w:cs="Times New Roman"/>
      </w:rPr>
      <w:fldChar w:fldCharType="begin"/>
    </w:r>
    <w:r w:rsidRPr="004335FC">
      <w:rPr>
        <w:rFonts w:ascii="Times New Roman" w:hAnsi="Times New Roman" w:cs="Times New Roman"/>
      </w:rPr>
      <w:instrText xml:space="preserve"> PAGE   \* MERGEFORMAT </w:instrText>
    </w:r>
    <w:r w:rsidRPr="004335FC">
      <w:rPr>
        <w:rFonts w:ascii="Times New Roman" w:hAnsi="Times New Roman" w:cs="Times New Roman"/>
      </w:rPr>
      <w:fldChar w:fldCharType="separate"/>
    </w:r>
    <w:r w:rsidR="00F342B3">
      <w:rPr>
        <w:rFonts w:ascii="Times New Roman" w:hAnsi="Times New Roman" w:cs="Times New Roman"/>
        <w:noProof/>
      </w:rPr>
      <w:t>10</w:t>
    </w:r>
    <w:r w:rsidRPr="004335FC">
      <w:rPr>
        <w:rFonts w:ascii="Times New Roman" w:hAnsi="Times New Roman" w:cs="Times New Roman"/>
        <w:noProof/>
      </w:rPr>
      <w:fldChar w:fldCharType="end"/>
    </w:r>
  </w:p>
  <w:p w14:paraId="2C49BF79" w14:textId="77777777" w:rsidR="00826104" w:rsidRPr="004335FC" w:rsidRDefault="00826104">
    <w:pP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06CB3" w14:textId="5C648735" w:rsidR="00826104" w:rsidRDefault="00826104">
    <w:pPr>
      <w:pStyle w:val="Footer"/>
      <w:jc w:val="center"/>
    </w:pPr>
    <w:r>
      <w:fldChar w:fldCharType="begin"/>
    </w:r>
    <w:r>
      <w:instrText xml:space="preserve"> PAGE   \* MERGEFORMAT </w:instrText>
    </w:r>
    <w:r>
      <w:fldChar w:fldCharType="separate"/>
    </w:r>
    <w:r w:rsidR="00331E1F">
      <w:rPr>
        <w:noProof/>
      </w:rPr>
      <w:t>1</w:t>
    </w:r>
    <w:r>
      <w:rPr>
        <w:noProof/>
      </w:rPr>
      <w:fldChar w:fldCharType="end"/>
    </w:r>
  </w:p>
  <w:p w14:paraId="73A6E890" w14:textId="77777777" w:rsidR="00826104" w:rsidRDefault="008261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937A0" w14:textId="77777777" w:rsidR="00BC6A8B" w:rsidRDefault="00BC6A8B" w:rsidP="003B76BF">
      <w:pPr>
        <w:spacing w:after="0" w:line="240" w:lineRule="auto"/>
      </w:pPr>
      <w:r>
        <w:separator/>
      </w:r>
    </w:p>
  </w:footnote>
  <w:footnote w:type="continuationSeparator" w:id="0">
    <w:p w14:paraId="14CBB18E" w14:textId="77777777" w:rsidR="00BC6A8B" w:rsidRDefault="00BC6A8B" w:rsidP="003B76BF">
      <w:pPr>
        <w:spacing w:after="0" w:line="240" w:lineRule="auto"/>
      </w:pPr>
      <w:r>
        <w:continuationSeparator/>
      </w:r>
    </w:p>
  </w:footnote>
  <w:footnote w:id="1">
    <w:p w14:paraId="3A0B9BBD" w14:textId="77777777" w:rsidR="00826104" w:rsidRPr="006B0BF1" w:rsidRDefault="00826104" w:rsidP="006B0BF1">
      <w:pPr>
        <w:pStyle w:val="FootnoteText"/>
        <w:rPr>
          <w:rFonts w:cs="Times New Roman"/>
        </w:rPr>
      </w:pPr>
      <w:r w:rsidRPr="006B0BF1">
        <w:rPr>
          <w:rStyle w:val="FootnoteReference"/>
          <w:rFonts w:eastAsia="Times New Roman" w:cs="Times New Roman"/>
        </w:rPr>
        <w:footnoteRef/>
      </w:r>
      <w:r w:rsidRPr="006B0BF1">
        <w:rPr>
          <w:rFonts w:eastAsia="Times New Roman" w:cs="Times New Roman"/>
        </w:rPr>
        <w:t xml:space="preserve"> Luis Ferre-Sadurni, “</w:t>
      </w:r>
      <w:r w:rsidRPr="006B0BF1">
        <w:rPr>
          <w:rFonts w:eastAsia="Times New Roman" w:cs="Times New Roman"/>
          <w:iCs/>
        </w:rPr>
        <w:t>The Rise and Fall of New York Public Housing: An Oral History” (Jun. 2018)</w:t>
      </w:r>
      <w:r w:rsidRPr="006B0BF1">
        <w:rPr>
          <w:rFonts w:eastAsia="Times New Roman" w:cs="Times New Roman"/>
        </w:rPr>
        <w:t xml:space="preserve">, </w:t>
      </w:r>
      <w:r w:rsidRPr="006B0BF1">
        <w:rPr>
          <w:rFonts w:eastAsia="Times New Roman" w:cs="Times New Roman"/>
          <w:smallCaps/>
        </w:rPr>
        <w:t>The New York Times</w:t>
      </w:r>
      <w:r w:rsidRPr="006B0BF1">
        <w:rPr>
          <w:rFonts w:eastAsia="Times New Roman" w:cs="Times New Roman"/>
        </w:rPr>
        <w:t xml:space="preserve">, </w:t>
      </w:r>
      <w:r w:rsidRPr="006B0BF1">
        <w:rPr>
          <w:rFonts w:eastAsia="Times New Roman" w:cs="Times New Roman"/>
          <w:i/>
          <w:iCs/>
        </w:rPr>
        <w:t xml:space="preserve">available at </w:t>
      </w:r>
      <w:hyperlink r:id="rId1" w:history="1">
        <w:r w:rsidRPr="006B0BF1">
          <w:rPr>
            <w:rStyle w:val="Hyperlink"/>
            <w:rFonts w:eastAsia="Times New Roman" w:cs="Times New Roman"/>
          </w:rPr>
          <w:t>https://www.nytimes.com/interactive/2018/06/25/nyregion/new-york-city-public-housing-history.html</w:t>
        </w:r>
      </w:hyperlink>
      <w:r w:rsidRPr="006B0BF1">
        <w:rPr>
          <w:rFonts w:eastAsia="Times New Roman" w:cs="Times New Roman"/>
        </w:rPr>
        <w:t>.</w:t>
      </w:r>
      <w:r w:rsidRPr="006B0BF1">
        <w:rPr>
          <w:rFonts w:eastAsia="Times New Roman" w:cs="Times New Roman"/>
          <w:u w:val="single"/>
        </w:rPr>
        <w:t xml:space="preserve"> </w:t>
      </w:r>
    </w:p>
  </w:footnote>
  <w:footnote w:id="2">
    <w:p w14:paraId="6A627128" w14:textId="77777777" w:rsidR="00826104" w:rsidRPr="006B0BF1" w:rsidRDefault="00826104" w:rsidP="006B0BF1">
      <w:pPr>
        <w:pStyle w:val="FootnoteText"/>
        <w:rPr>
          <w:rFonts w:cs="Times New Roman"/>
        </w:rPr>
      </w:pPr>
      <w:r w:rsidRPr="006B0BF1">
        <w:rPr>
          <w:rStyle w:val="FootnoteCharacters"/>
          <w:rFonts w:eastAsia="Times New Roman" w:cs="Times New Roman"/>
        </w:rPr>
        <w:footnoteRef/>
      </w:r>
      <w:r w:rsidRPr="006B0BF1">
        <w:rPr>
          <w:rFonts w:eastAsia="Times New Roman" w:cs="Times New Roman"/>
        </w:rPr>
        <w:t xml:space="preserve"> “</w:t>
      </w:r>
      <w:r w:rsidRPr="006B0BF1">
        <w:rPr>
          <w:rFonts w:eastAsia="Times New Roman" w:cs="Times New Roman"/>
          <w:iCs/>
        </w:rPr>
        <w:t>Housing Act of 1937”</w:t>
      </w:r>
      <w:r w:rsidRPr="006B0BF1">
        <w:rPr>
          <w:rFonts w:eastAsia="Times New Roman" w:cs="Times New Roman"/>
        </w:rPr>
        <w:t xml:space="preserve">, last accessed on Jan. 25, 2023, </w:t>
      </w:r>
      <w:r w:rsidRPr="006B0BF1">
        <w:rPr>
          <w:rFonts w:eastAsia="Times New Roman" w:cs="Times New Roman"/>
          <w:i/>
          <w:iCs/>
        </w:rPr>
        <w:t>available at</w:t>
      </w:r>
      <w:r w:rsidRPr="006B0BF1">
        <w:rPr>
          <w:rFonts w:eastAsia="Times New Roman" w:cs="Times New Roman"/>
        </w:rPr>
        <w:t xml:space="preserve"> </w:t>
      </w:r>
      <w:hyperlink r:id="rId2" w:history="1">
        <w:r w:rsidRPr="006B0BF1">
          <w:rPr>
            <w:rStyle w:val="Hyperlink"/>
            <w:rFonts w:eastAsia="Times New Roman" w:cs="Times New Roman"/>
          </w:rPr>
          <w:t>https://www.gpo.gov/fdsys/pkg/USCODE-2009-title42/pdf/USCODE-2009-title42-chap8.pdf</w:t>
        </w:r>
      </w:hyperlink>
      <w:r w:rsidRPr="006B0BF1">
        <w:rPr>
          <w:rFonts w:eastAsia="Times New Roman" w:cs="Times New Roman"/>
        </w:rPr>
        <w:t xml:space="preserve">. </w:t>
      </w:r>
    </w:p>
  </w:footnote>
  <w:footnote w:id="3">
    <w:p w14:paraId="5D9C0104" w14:textId="62752894" w:rsidR="00826104" w:rsidRPr="006B0BF1" w:rsidRDefault="00826104" w:rsidP="006B0BF1">
      <w:pPr>
        <w:pStyle w:val="FootnoteText"/>
        <w:rPr>
          <w:rFonts w:cs="Times New Roman"/>
        </w:rPr>
      </w:pPr>
      <w:r w:rsidRPr="006B0BF1">
        <w:rPr>
          <w:rStyle w:val="FootnoteCharacters"/>
          <w:rFonts w:eastAsia="Times New Roman" w:cs="Times New Roman"/>
        </w:rPr>
        <w:footnoteRef/>
      </w:r>
      <w:r w:rsidRPr="006B0BF1">
        <w:rPr>
          <w:rFonts w:eastAsia="Times New Roman" w:cs="Times New Roman"/>
        </w:rPr>
        <w:t xml:space="preserve"> Peter Marcuse, “</w:t>
      </w:r>
      <w:r w:rsidRPr="006B0BF1">
        <w:rPr>
          <w:rFonts w:eastAsia="Times New Roman" w:cs="Times New Roman"/>
          <w:iCs/>
        </w:rPr>
        <w:t>The Beginnings of Public Housing in New York</w:t>
      </w:r>
      <w:r w:rsidR="005E4DC7">
        <w:rPr>
          <w:rFonts w:eastAsia="Times New Roman" w:cs="Times New Roman"/>
          <w:iCs/>
        </w:rPr>
        <w:t>,</w:t>
      </w:r>
      <w:r w:rsidRPr="006B0BF1">
        <w:rPr>
          <w:rFonts w:eastAsia="Times New Roman" w:cs="Times New Roman"/>
        </w:rPr>
        <w:t>” Journal of Urban History 12(4) at 353-54 (1986); J.A. Stoloff, “</w:t>
      </w:r>
      <w:r w:rsidRPr="006B0BF1">
        <w:rPr>
          <w:rFonts w:eastAsia="Times New Roman" w:cs="Times New Roman"/>
          <w:iCs/>
        </w:rPr>
        <w:t>A Brief History of Public Housing”, Paper presented at August 14 meeting of the American Sociological Association</w:t>
      </w:r>
      <w:r w:rsidRPr="006B0BF1">
        <w:rPr>
          <w:rFonts w:eastAsia="Times New Roman" w:cs="Times New Roman"/>
        </w:rPr>
        <w:t>, at 3 (2004).</w:t>
      </w:r>
    </w:p>
  </w:footnote>
  <w:footnote w:id="4">
    <w:p w14:paraId="44DFEF76" w14:textId="77777777" w:rsidR="00826104" w:rsidRPr="006B0BF1" w:rsidRDefault="00826104" w:rsidP="006B0BF1">
      <w:pPr>
        <w:pStyle w:val="FootnoteText"/>
        <w:rPr>
          <w:rFonts w:cs="Times New Roman"/>
        </w:rPr>
      </w:pPr>
      <w:r w:rsidRPr="006B0BF1">
        <w:rPr>
          <w:rStyle w:val="FootnoteCharacters"/>
          <w:rFonts w:eastAsia="Times New Roman" w:cs="Times New Roman"/>
        </w:rPr>
        <w:footnoteRef/>
      </w:r>
      <w:r w:rsidRPr="006B0BF1">
        <w:rPr>
          <w:rFonts w:eastAsia="Times New Roman" w:cs="Times New Roman"/>
        </w:rPr>
        <w:t xml:space="preserve"> Marcuse, 354; Stoloff, 1; </w:t>
      </w:r>
      <w:r w:rsidRPr="006B0BF1">
        <w:rPr>
          <w:rFonts w:eastAsia="Times New Roman" w:cs="Times New Roman"/>
          <w:i/>
          <w:iCs/>
        </w:rPr>
        <w:t>see also</w:t>
      </w:r>
      <w:r w:rsidRPr="006B0BF1">
        <w:rPr>
          <w:rFonts w:eastAsia="Times New Roman" w:cs="Times New Roman"/>
        </w:rPr>
        <w:t xml:space="preserve"> Judith D. Feins, et al., </w:t>
      </w:r>
      <w:r w:rsidRPr="006B0BF1">
        <w:rPr>
          <w:rFonts w:eastAsia="Times New Roman" w:cs="Times New Roman"/>
          <w:i/>
          <w:iCs/>
        </w:rPr>
        <w:t>Revised Methods of Providing Federal Funds for Public Housing Agencies</w:t>
      </w:r>
      <w:r w:rsidRPr="006B0BF1">
        <w:rPr>
          <w:rFonts w:eastAsia="Times New Roman" w:cs="Times New Roman"/>
        </w:rPr>
        <w:t xml:space="preserve">, </w:t>
      </w:r>
      <w:r w:rsidRPr="006B0BF1">
        <w:rPr>
          <w:rFonts w:eastAsia="Times New Roman" w:cs="Times New Roman"/>
          <w:smallCaps/>
        </w:rPr>
        <w:t>United States Department of Housing and Urban Development</w:t>
      </w:r>
      <w:r w:rsidRPr="006B0BF1">
        <w:rPr>
          <w:rFonts w:eastAsia="Times New Roman" w:cs="Times New Roman"/>
        </w:rPr>
        <w:t>, at 9 (1994).</w:t>
      </w:r>
    </w:p>
  </w:footnote>
  <w:footnote w:id="5">
    <w:p w14:paraId="1D170FC2" w14:textId="27B57D89" w:rsidR="003115E2" w:rsidRPr="006B0BF1" w:rsidRDefault="00826104" w:rsidP="006B0BF1">
      <w:pPr>
        <w:spacing w:after="0" w:line="240" w:lineRule="auto"/>
        <w:rPr>
          <w:rFonts w:cs="Times New Roman"/>
          <w:sz w:val="20"/>
          <w:szCs w:val="20"/>
        </w:rPr>
      </w:pPr>
      <w:r w:rsidRPr="006B0BF1">
        <w:rPr>
          <w:rStyle w:val="FootnoteReference"/>
          <w:rFonts w:cs="Times New Roman"/>
          <w:sz w:val="20"/>
          <w:szCs w:val="20"/>
        </w:rPr>
        <w:footnoteRef/>
      </w:r>
      <w:r w:rsidR="003115E2" w:rsidRPr="006B0BF1">
        <w:rPr>
          <w:rFonts w:cs="Times New Roman"/>
          <w:sz w:val="20"/>
          <w:szCs w:val="20"/>
        </w:rPr>
        <w:t xml:space="preserve"> “Mayor’s Management Report” </w:t>
      </w:r>
      <w:r w:rsidRPr="006B0BF1">
        <w:rPr>
          <w:rFonts w:cs="Times New Roman"/>
          <w:sz w:val="20"/>
          <w:szCs w:val="20"/>
        </w:rPr>
        <w:t>(</w:t>
      </w:r>
      <w:r w:rsidR="003115E2" w:rsidRPr="006B0BF1">
        <w:rPr>
          <w:rFonts w:cs="Times New Roman"/>
          <w:sz w:val="20"/>
          <w:szCs w:val="20"/>
        </w:rPr>
        <w:t>Sept</w:t>
      </w:r>
      <w:r w:rsidRPr="006B0BF1">
        <w:rPr>
          <w:rFonts w:cs="Times New Roman"/>
          <w:sz w:val="20"/>
          <w:szCs w:val="20"/>
        </w:rPr>
        <w:t>. 2025)</w:t>
      </w:r>
      <w:r w:rsidR="003115E2" w:rsidRPr="006B0BF1">
        <w:rPr>
          <w:rFonts w:cs="Times New Roman"/>
          <w:sz w:val="20"/>
          <w:szCs w:val="20"/>
        </w:rPr>
        <w:t xml:space="preserve"> at </w:t>
      </w:r>
      <w:r w:rsidR="00DA19F8" w:rsidRPr="006B0BF1">
        <w:rPr>
          <w:rFonts w:cs="Times New Roman"/>
          <w:sz w:val="20"/>
          <w:szCs w:val="20"/>
        </w:rPr>
        <w:t>407</w:t>
      </w:r>
      <w:r w:rsidRPr="006B0BF1">
        <w:rPr>
          <w:rFonts w:cs="Times New Roman"/>
          <w:sz w:val="20"/>
          <w:szCs w:val="20"/>
        </w:rPr>
        <w:t xml:space="preserve">, </w:t>
      </w:r>
      <w:r w:rsidRPr="006B0BF1">
        <w:rPr>
          <w:rFonts w:cs="Times New Roman"/>
          <w:i/>
          <w:sz w:val="20"/>
          <w:szCs w:val="20"/>
        </w:rPr>
        <w:t xml:space="preserve">available at </w:t>
      </w:r>
      <w:hyperlink r:id="rId3" w:history="1">
        <w:r w:rsidR="003115E2" w:rsidRPr="006B0BF1">
          <w:rPr>
            <w:rStyle w:val="Hyperlink"/>
            <w:rFonts w:cs="Times New Roman"/>
            <w:sz w:val="20"/>
            <w:szCs w:val="20"/>
          </w:rPr>
          <w:t>https://www.nyc.gov/assets/operations/downloads/pdf/mmr2025/2025_mmr.pdf</w:t>
        </w:r>
      </w:hyperlink>
      <w:r w:rsidR="003115E2" w:rsidRPr="006B0BF1">
        <w:rPr>
          <w:rFonts w:cs="Times New Roman"/>
          <w:sz w:val="20"/>
          <w:szCs w:val="20"/>
        </w:rPr>
        <w:t>.</w:t>
      </w:r>
    </w:p>
  </w:footnote>
  <w:footnote w:id="6">
    <w:p w14:paraId="37B78947" w14:textId="6C80541F" w:rsidR="00826104" w:rsidRPr="006B0BF1" w:rsidRDefault="00826104"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00C4064C" w:rsidRPr="006B0BF1">
        <w:rPr>
          <w:rFonts w:cs="Times New Roman"/>
          <w:i/>
          <w:iCs/>
          <w:sz w:val="20"/>
          <w:szCs w:val="20"/>
        </w:rPr>
        <w:t>Id</w:t>
      </w:r>
    </w:p>
  </w:footnote>
  <w:footnote w:id="7">
    <w:p w14:paraId="171A396B" w14:textId="698E3A4D" w:rsidR="00826104" w:rsidRPr="006B0BF1" w:rsidRDefault="00826104" w:rsidP="006B0BF1">
      <w:pPr>
        <w:pStyle w:val="FootnoteText"/>
        <w:rPr>
          <w:rFonts w:cs="Times New Roman"/>
        </w:rPr>
      </w:pPr>
      <w:r w:rsidRPr="006B0BF1">
        <w:rPr>
          <w:rStyle w:val="FootnoteReference"/>
          <w:rFonts w:eastAsia="Times New Roman" w:cs="Times New Roman"/>
        </w:rPr>
        <w:footnoteRef/>
      </w:r>
      <w:r w:rsidRPr="006B0BF1">
        <w:rPr>
          <w:rFonts w:eastAsia="Times New Roman" w:cs="Times New Roman"/>
        </w:rPr>
        <w:t xml:space="preserve"> </w:t>
      </w:r>
      <w:r w:rsidR="00934CB2" w:rsidRPr="006B0BF1">
        <w:rPr>
          <w:rFonts w:eastAsia="Times New Roman" w:cs="Times New Roman"/>
          <w:i/>
          <w:iCs/>
        </w:rPr>
        <w:t>Id.</w:t>
      </w:r>
    </w:p>
  </w:footnote>
  <w:footnote w:id="8">
    <w:p w14:paraId="6419826E" w14:textId="77777777" w:rsidR="00826104" w:rsidRPr="006B0BF1" w:rsidRDefault="00826104" w:rsidP="006B0BF1">
      <w:pPr>
        <w:pStyle w:val="FootnoteText"/>
        <w:rPr>
          <w:rFonts w:cs="Times New Roman"/>
        </w:rPr>
      </w:pPr>
      <w:r w:rsidRPr="006B0BF1">
        <w:rPr>
          <w:rStyle w:val="FootnoteReference"/>
          <w:rFonts w:eastAsia="Times New Roman" w:cs="Times New Roman"/>
        </w:rPr>
        <w:footnoteRef/>
      </w:r>
      <w:r w:rsidRPr="006B0BF1">
        <w:rPr>
          <w:rFonts w:eastAsia="Times New Roman" w:cs="Times New Roman"/>
        </w:rPr>
        <w:t xml:space="preserve"> NYCHA, </w:t>
      </w:r>
      <w:r w:rsidRPr="006B0BF1">
        <w:rPr>
          <w:rFonts w:eastAsia="Times New Roman" w:cs="Times New Roman"/>
          <w:i/>
          <w:iCs/>
        </w:rPr>
        <w:t>Voting at Nostrand</w:t>
      </w:r>
      <w:r w:rsidRPr="006B0BF1">
        <w:rPr>
          <w:rFonts w:eastAsia="Times New Roman" w:cs="Times New Roman"/>
        </w:rPr>
        <w:t xml:space="preserve">, </w:t>
      </w:r>
      <w:r w:rsidRPr="006B0BF1">
        <w:rPr>
          <w:rFonts w:eastAsia="Times New Roman" w:cs="Times New Roman"/>
          <w:smallCaps/>
        </w:rPr>
        <w:t>New York City Housing Authority</w:t>
      </w:r>
      <w:r w:rsidRPr="006B0BF1">
        <w:rPr>
          <w:rFonts w:eastAsia="Times New Roman" w:cs="Times New Roman"/>
        </w:rPr>
        <w:t xml:space="preserve">, </w:t>
      </w:r>
      <w:r w:rsidRPr="006B0BF1">
        <w:rPr>
          <w:rFonts w:eastAsia="Times New Roman" w:cs="Times New Roman"/>
          <w:i/>
          <w:iCs/>
        </w:rPr>
        <w:t>available at</w:t>
      </w:r>
      <w:r w:rsidRPr="006B0BF1">
        <w:rPr>
          <w:rFonts w:eastAsia="Times New Roman" w:cs="Times New Roman"/>
        </w:rPr>
        <w:t xml:space="preserve"> </w:t>
      </w:r>
      <w:hyperlink r:id="rId4" w:history="1">
        <w:r w:rsidRPr="006B0BF1">
          <w:rPr>
            <w:rStyle w:val="Hyperlink"/>
            <w:rFonts w:eastAsia="Times New Roman" w:cs="Times New Roman"/>
          </w:rPr>
          <w:t>https://www.nyc.gov/site/nycha/residents/voting-nostrand.page</w:t>
        </w:r>
      </w:hyperlink>
      <w:r w:rsidRPr="006B0BF1">
        <w:rPr>
          <w:rFonts w:eastAsia="Times New Roman" w:cs="Times New Roman"/>
        </w:rPr>
        <w:t xml:space="preserve">. </w:t>
      </w:r>
    </w:p>
  </w:footnote>
  <w:footnote w:id="9">
    <w:p w14:paraId="41AD9785" w14:textId="77777777" w:rsidR="00826104" w:rsidRPr="006B0BF1" w:rsidRDefault="00826104" w:rsidP="006B0BF1">
      <w:pPr>
        <w:pStyle w:val="FootnoteText"/>
        <w:rPr>
          <w:rFonts w:cs="Times New Roman"/>
        </w:rPr>
      </w:pPr>
      <w:r w:rsidRPr="006B0BF1">
        <w:rPr>
          <w:rStyle w:val="FootnoteReference"/>
          <w:rFonts w:eastAsia="Times New Roman" w:cs="Times New Roman"/>
        </w:rPr>
        <w:footnoteRef/>
      </w:r>
      <w:r w:rsidRPr="006B0BF1">
        <w:rPr>
          <w:rFonts w:eastAsia="Times New Roman" w:cs="Times New Roman"/>
        </w:rPr>
        <w:t xml:space="preserve"> NYCHA, </w:t>
      </w:r>
      <w:r w:rsidRPr="006B0BF1">
        <w:rPr>
          <w:rFonts w:eastAsia="Times New Roman" w:cs="Times New Roman"/>
          <w:i/>
          <w:iCs/>
        </w:rPr>
        <w:t>Public Housing Preservation Trust</w:t>
      </w:r>
      <w:r w:rsidRPr="006B0BF1">
        <w:rPr>
          <w:rFonts w:eastAsia="Times New Roman" w:cs="Times New Roman"/>
        </w:rPr>
        <w:t xml:space="preserve">, </w:t>
      </w:r>
      <w:r w:rsidRPr="006B0BF1">
        <w:rPr>
          <w:rFonts w:eastAsia="Times New Roman" w:cs="Times New Roman"/>
          <w:smallCaps/>
        </w:rPr>
        <w:t>New York City Housing Authority</w:t>
      </w:r>
      <w:r w:rsidRPr="006B0BF1">
        <w:rPr>
          <w:rFonts w:eastAsia="Times New Roman" w:cs="Times New Roman"/>
        </w:rPr>
        <w:t xml:space="preserve">, </w:t>
      </w:r>
      <w:r w:rsidRPr="006B0BF1">
        <w:rPr>
          <w:rFonts w:eastAsia="Times New Roman" w:cs="Times New Roman"/>
          <w:i/>
          <w:iCs/>
        </w:rPr>
        <w:t>available at</w:t>
      </w:r>
      <w:r w:rsidRPr="006B0BF1">
        <w:rPr>
          <w:rFonts w:eastAsia="Times New Roman" w:cs="Times New Roman"/>
        </w:rPr>
        <w:t xml:space="preserve"> </w:t>
      </w:r>
      <w:hyperlink r:id="rId5" w:history="1">
        <w:r w:rsidRPr="006B0BF1">
          <w:rPr>
            <w:rStyle w:val="Hyperlink"/>
            <w:rFonts w:eastAsia="Times New Roman" w:cs="Times New Roman"/>
          </w:rPr>
          <w:t>https://www.nyc.gov/site/nycha/about/public-housing-preservation-trust.page</w:t>
        </w:r>
      </w:hyperlink>
      <w:r w:rsidRPr="006B0BF1">
        <w:rPr>
          <w:rFonts w:eastAsia="Times New Roman" w:cs="Times New Roman"/>
        </w:rPr>
        <w:t xml:space="preserve">. </w:t>
      </w:r>
    </w:p>
  </w:footnote>
  <w:footnote w:id="10">
    <w:p w14:paraId="3B9A8FD3" w14:textId="77777777" w:rsidR="00826104" w:rsidRPr="006B0BF1" w:rsidRDefault="00826104" w:rsidP="006B0BF1">
      <w:pPr>
        <w:spacing w:after="0" w:line="240" w:lineRule="auto"/>
        <w:rPr>
          <w:rFonts w:cs="Times New Roman"/>
          <w:sz w:val="20"/>
          <w:szCs w:val="20"/>
        </w:rPr>
      </w:pPr>
      <w:r w:rsidRPr="006B0BF1">
        <w:rPr>
          <w:rStyle w:val="FootnoteReference"/>
          <w:rFonts w:eastAsia="Times New Roman" w:cs="Times New Roman"/>
          <w:sz w:val="20"/>
          <w:szCs w:val="20"/>
        </w:rPr>
        <w:footnoteRef/>
      </w:r>
      <w:r w:rsidRPr="006B0BF1">
        <w:rPr>
          <w:rFonts w:eastAsia="Times New Roman" w:cs="Times New Roman"/>
          <w:sz w:val="20"/>
          <w:szCs w:val="20"/>
        </w:rPr>
        <w:t xml:space="preserve"> The NYCHA Journal, “First Resident Vote Certified: Nostrand Residents Select the Trust” (Dec. 2023), </w:t>
      </w:r>
      <w:r w:rsidRPr="006B0BF1">
        <w:rPr>
          <w:rFonts w:eastAsia="Times New Roman" w:cs="Times New Roman"/>
          <w:i/>
          <w:iCs/>
          <w:sz w:val="20"/>
          <w:szCs w:val="20"/>
        </w:rPr>
        <w:t>available at</w:t>
      </w:r>
      <w:r w:rsidRPr="006B0BF1">
        <w:rPr>
          <w:rFonts w:eastAsia="Times New Roman" w:cs="Times New Roman"/>
          <w:sz w:val="20"/>
          <w:szCs w:val="20"/>
        </w:rPr>
        <w:t xml:space="preserve"> </w:t>
      </w:r>
      <w:hyperlink r:id="rId6">
        <w:r w:rsidRPr="006B0BF1">
          <w:rPr>
            <w:rStyle w:val="Hyperlink"/>
            <w:rFonts w:eastAsia="Times New Roman" w:cs="Times New Roman"/>
            <w:sz w:val="20"/>
            <w:szCs w:val="20"/>
          </w:rPr>
          <w:t>https://nychajournal.nyc/first-resident-vote-certified-nostrand-residents-select-the-trust/</w:t>
        </w:r>
      </w:hyperlink>
      <w:r w:rsidRPr="006B0BF1">
        <w:rPr>
          <w:rFonts w:eastAsia="Times New Roman" w:cs="Times New Roman"/>
          <w:sz w:val="20"/>
          <w:szCs w:val="20"/>
        </w:rPr>
        <w:t>.</w:t>
      </w:r>
    </w:p>
  </w:footnote>
  <w:footnote w:id="11">
    <w:p w14:paraId="338C6892" w14:textId="77777777" w:rsidR="00826104" w:rsidRPr="006B0BF1" w:rsidRDefault="00826104" w:rsidP="006B0BF1">
      <w:pPr>
        <w:spacing w:after="0" w:line="240" w:lineRule="auto"/>
        <w:rPr>
          <w:rFonts w:eastAsia="Times New Roman" w:cs="Times New Roman"/>
          <w:sz w:val="20"/>
          <w:szCs w:val="20"/>
        </w:rPr>
      </w:pPr>
      <w:r w:rsidRPr="006B0BF1">
        <w:rPr>
          <w:rStyle w:val="FootnoteReference"/>
          <w:rFonts w:eastAsia="Times New Roman" w:cs="Times New Roman"/>
          <w:sz w:val="20"/>
          <w:szCs w:val="20"/>
        </w:rPr>
        <w:footnoteRef/>
      </w:r>
      <w:r w:rsidRPr="006B0BF1">
        <w:rPr>
          <w:rFonts w:eastAsia="Times New Roman" w:cs="Times New Roman"/>
          <w:sz w:val="20"/>
          <w:szCs w:val="20"/>
        </w:rPr>
        <w:t xml:space="preserve"> The NYCHA Journal, “Bronx River Addition Residents Vote to Join Public Housing Preservation Trust” (Apr. 2024), </w:t>
      </w:r>
      <w:r w:rsidRPr="006B0BF1">
        <w:rPr>
          <w:rFonts w:eastAsia="Times New Roman" w:cs="Times New Roman"/>
          <w:i/>
          <w:iCs/>
          <w:sz w:val="20"/>
          <w:szCs w:val="20"/>
        </w:rPr>
        <w:t>available at</w:t>
      </w:r>
      <w:r w:rsidRPr="006B0BF1">
        <w:rPr>
          <w:rFonts w:eastAsia="Times New Roman" w:cs="Times New Roman"/>
          <w:sz w:val="20"/>
          <w:szCs w:val="20"/>
        </w:rPr>
        <w:t xml:space="preserve"> </w:t>
      </w:r>
      <w:hyperlink r:id="rId7">
        <w:r w:rsidRPr="006B0BF1">
          <w:rPr>
            <w:rStyle w:val="Hyperlink"/>
            <w:rFonts w:eastAsia="Times New Roman" w:cs="Times New Roman"/>
            <w:sz w:val="20"/>
            <w:szCs w:val="20"/>
          </w:rPr>
          <w:t>https://nychajournal.nyc/bronx-river-addition-residents-vote-to-join-public-housing-preservation-trust/</w:t>
        </w:r>
      </w:hyperlink>
      <w:r w:rsidRPr="006B0BF1">
        <w:rPr>
          <w:rFonts w:eastAsia="Times New Roman" w:cs="Times New Roman"/>
          <w:sz w:val="20"/>
          <w:szCs w:val="20"/>
        </w:rPr>
        <w:t>.</w:t>
      </w:r>
    </w:p>
  </w:footnote>
  <w:footnote w:id="12">
    <w:p w14:paraId="2C94777E" w14:textId="77777777" w:rsidR="00826104" w:rsidRPr="006B0BF1" w:rsidRDefault="00826104" w:rsidP="006B0BF1">
      <w:pPr>
        <w:spacing w:after="0" w:line="240" w:lineRule="auto"/>
        <w:rPr>
          <w:rFonts w:eastAsia="Times New Roman" w:cs="Times New Roman"/>
          <w:sz w:val="20"/>
          <w:szCs w:val="20"/>
        </w:rPr>
      </w:pPr>
      <w:r w:rsidRPr="006B0BF1">
        <w:rPr>
          <w:rStyle w:val="FootnoteReference"/>
          <w:rFonts w:eastAsia="Times New Roman" w:cs="Times New Roman"/>
          <w:sz w:val="20"/>
          <w:szCs w:val="20"/>
        </w:rPr>
        <w:footnoteRef/>
      </w:r>
      <w:r w:rsidRPr="006B0BF1">
        <w:rPr>
          <w:rFonts w:eastAsia="Times New Roman" w:cs="Times New Roman"/>
          <w:sz w:val="20"/>
          <w:szCs w:val="20"/>
        </w:rPr>
        <w:t xml:space="preserve"> The NYCHA Journal, “Residents at Two Coney Island Developments Decide the Future of Their Homes” (Aug. 2024), </w:t>
      </w:r>
      <w:r w:rsidRPr="006B0BF1">
        <w:rPr>
          <w:rFonts w:eastAsia="Times New Roman" w:cs="Times New Roman"/>
          <w:i/>
          <w:iCs/>
          <w:sz w:val="20"/>
          <w:szCs w:val="20"/>
        </w:rPr>
        <w:t>available at</w:t>
      </w:r>
      <w:r w:rsidRPr="006B0BF1">
        <w:rPr>
          <w:rFonts w:eastAsia="Times New Roman" w:cs="Times New Roman"/>
          <w:sz w:val="20"/>
          <w:szCs w:val="20"/>
        </w:rPr>
        <w:t xml:space="preserve"> </w:t>
      </w:r>
      <w:r w:rsidRPr="006B0BF1">
        <w:rPr>
          <w:rStyle w:val="Hyperlink"/>
          <w:rFonts w:eastAsia="Times New Roman" w:cs="Times New Roman"/>
          <w:sz w:val="20"/>
          <w:szCs w:val="20"/>
        </w:rPr>
        <w:t>https://nychajournal.nyc/residents-at-two-coney-island-developments-decide-the-future-of-their-homes/</w:t>
      </w:r>
      <w:r w:rsidRPr="006B0BF1">
        <w:rPr>
          <w:rFonts w:eastAsia="Times New Roman" w:cs="Times New Roman"/>
          <w:sz w:val="20"/>
          <w:szCs w:val="20"/>
        </w:rPr>
        <w:t>.</w:t>
      </w:r>
    </w:p>
  </w:footnote>
  <w:footnote w:id="13">
    <w:p w14:paraId="56B8D711" w14:textId="77777777" w:rsidR="00826104" w:rsidRPr="006B0BF1" w:rsidRDefault="00826104" w:rsidP="006B0BF1">
      <w:pPr>
        <w:pStyle w:val="FootnoteText"/>
        <w:rPr>
          <w:rFonts w:cs="Times New Roman"/>
        </w:rPr>
      </w:pPr>
      <w:r w:rsidRPr="006B0BF1">
        <w:rPr>
          <w:rStyle w:val="FootnoteReference"/>
          <w:rFonts w:cs="Times New Roman"/>
        </w:rPr>
        <w:footnoteRef/>
      </w:r>
      <w:r w:rsidRPr="006B0BF1">
        <w:rPr>
          <w:rFonts w:cs="Times New Roman"/>
        </w:rPr>
        <w:t xml:space="preserve"> NYCHA, “Tie Is Broken as NYCHA Residents at Hylan Houses Cast Their Ballots in Favor of the Trust in Runoff Vote” (Apr. 2025), </w:t>
      </w:r>
      <w:r w:rsidRPr="006B0BF1">
        <w:rPr>
          <w:rFonts w:cs="Times New Roman"/>
          <w:i/>
        </w:rPr>
        <w:t xml:space="preserve">available at </w:t>
      </w:r>
      <w:hyperlink r:id="rId8" w:history="1">
        <w:r w:rsidRPr="006B0BF1">
          <w:rPr>
            <w:rStyle w:val="Hyperlink"/>
            <w:rFonts w:cs="Times New Roman"/>
          </w:rPr>
          <w:t>https://www.nyc.gov/site/nycha/about/press/pr-2025/pr-20250410.page</w:t>
        </w:r>
      </w:hyperlink>
      <w:r w:rsidRPr="006B0BF1">
        <w:rPr>
          <w:rFonts w:cs="Times New Roman"/>
        </w:rPr>
        <w:t xml:space="preserve">. </w:t>
      </w:r>
    </w:p>
  </w:footnote>
  <w:footnote w:id="14">
    <w:p w14:paraId="0C1F8D28" w14:textId="77777777" w:rsidR="00826104" w:rsidRPr="006B0BF1" w:rsidRDefault="00826104" w:rsidP="006B0BF1">
      <w:pPr>
        <w:spacing w:after="0" w:line="240" w:lineRule="auto"/>
        <w:rPr>
          <w:rFonts w:eastAsia="Times New Roman" w:cs="Times New Roman"/>
          <w:i/>
          <w:iCs/>
          <w:sz w:val="20"/>
          <w:szCs w:val="20"/>
        </w:rPr>
      </w:pPr>
      <w:r w:rsidRPr="006B0BF1">
        <w:rPr>
          <w:rStyle w:val="FootnoteReference"/>
          <w:rFonts w:eastAsia="Times New Roman" w:cs="Times New Roman"/>
          <w:sz w:val="20"/>
          <w:szCs w:val="20"/>
        </w:rPr>
        <w:footnoteRef/>
      </w:r>
      <w:r w:rsidRPr="006B0BF1">
        <w:rPr>
          <w:rFonts w:eastAsia="Times New Roman" w:cs="Times New Roman"/>
          <w:sz w:val="20"/>
          <w:szCs w:val="20"/>
        </w:rPr>
        <w:t xml:space="preserve"> The NYCHA Journal, “Residents at Two Coney Island Developments Decide the Future of Their Homes” (Aug. 2024), </w:t>
      </w:r>
      <w:r w:rsidRPr="006B0BF1">
        <w:rPr>
          <w:rFonts w:eastAsia="Times New Roman" w:cs="Times New Roman"/>
          <w:i/>
          <w:iCs/>
          <w:sz w:val="20"/>
          <w:szCs w:val="20"/>
        </w:rPr>
        <w:t>available at</w:t>
      </w:r>
      <w:r w:rsidRPr="006B0BF1">
        <w:rPr>
          <w:rFonts w:eastAsia="Times New Roman" w:cs="Times New Roman"/>
          <w:sz w:val="20"/>
          <w:szCs w:val="20"/>
        </w:rPr>
        <w:t xml:space="preserve"> </w:t>
      </w:r>
      <w:r w:rsidRPr="006B0BF1">
        <w:rPr>
          <w:rStyle w:val="Hyperlink"/>
          <w:rFonts w:eastAsia="Times New Roman" w:cs="Times New Roman"/>
          <w:sz w:val="20"/>
          <w:szCs w:val="20"/>
        </w:rPr>
        <w:t>https://nychajournal.nyc/residents-at-two-coney-island-developments-decide-the-future-of-their-homes/</w:t>
      </w:r>
      <w:r w:rsidRPr="006B0BF1">
        <w:rPr>
          <w:rFonts w:eastAsia="Times New Roman" w:cs="Times New Roman"/>
          <w:sz w:val="20"/>
          <w:szCs w:val="20"/>
        </w:rPr>
        <w:t>.</w:t>
      </w:r>
    </w:p>
  </w:footnote>
  <w:footnote w:id="15">
    <w:p w14:paraId="3176F32D" w14:textId="77777777" w:rsidR="00826104" w:rsidRPr="006B0BF1" w:rsidRDefault="00826104" w:rsidP="006B0BF1">
      <w:pPr>
        <w:pStyle w:val="FootnoteText"/>
        <w:rPr>
          <w:rFonts w:cs="Times New Roman"/>
        </w:rPr>
      </w:pPr>
      <w:r w:rsidRPr="006B0BF1">
        <w:rPr>
          <w:rStyle w:val="FootnoteReference"/>
          <w:rFonts w:cs="Times New Roman"/>
        </w:rPr>
        <w:footnoteRef/>
      </w:r>
      <w:r w:rsidRPr="006B0BF1">
        <w:rPr>
          <w:rFonts w:cs="Times New Roman"/>
        </w:rPr>
        <w:t xml:space="preserve"> Daniel Jonas Roche, “NYCHA Jacob Riis Houses vote to remain in Section 9, against privatization” (Apr. 2025), The Architect’s Newspaper, </w:t>
      </w:r>
      <w:r w:rsidRPr="006B0BF1">
        <w:rPr>
          <w:rFonts w:cs="Times New Roman"/>
          <w:i/>
        </w:rPr>
        <w:t xml:space="preserve">available at </w:t>
      </w:r>
      <w:hyperlink r:id="rId9" w:history="1">
        <w:r w:rsidRPr="006B0BF1">
          <w:rPr>
            <w:rStyle w:val="Hyperlink"/>
            <w:rFonts w:cs="Times New Roman"/>
          </w:rPr>
          <w:t>https://www.archpaper.com/2025/04/nycha-jacob-riis-houses-vote-section-9/</w:t>
        </w:r>
      </w:hyperlink>
      <w:r w:rsidRPr="006B0BF1">
        <w:rPr>
          <w:rFonts w:cs="Times New Roman"/>
        </w:rPr>
        <w:t xml:space="preserve">. </w:t>
      </w:r>
    </w:p>
  </w:footnote>
  <w:footnote w:id="16">
    <w:p w14:paraId="3B5BCF4D" w14:textId="77777777" w:rsidR="00826104" w:rsidRPr="006B0BF1" w:rsidRDefault="00826104" w:rsidP="006B0BF1">
      <w:pPr>
        <w:pStyle w:val="FootnoteText"/>
        <w:rPr>
          <w:rFonts w:cs="Times New Roman"/>
        </w:rPr>
      </w:pPr>
      <w:r w:rsidRPr="006B0BF1">
        <w:rPr>
          <w:rStyle w:val="FootnoteReference"/>
          <w:rFonts w:cs="Times New Roman"/>
        </w:rPr>
        <w:footnoteRef/>
      </w:r>
      <w:r w:rsidRPr="006B0BF1">
        <w:rPr>
          <w:rFonts w:cs="Times New Roman"/>
        </w:rPr>
        <w:t xml:space="preserve"> NYCHA, “NYCHA Residents From Two Bronx Developments Decide the Future of Their Homes” (Apr. 2025), </w:t>
      </w:r>
      <w:r w:rsidRPr="006B0BF1">
        <w:rPr>
          <w:rFonts w:cs="Times New Roman"/>
          <w:i/>
        </w:rPr>
        <w:t xml:space="preserve">available at </w:t>
      </w:r>
      <w:hyperlink r:id="rId10" w:history="1">
        <w:r w:rsidRPr="006B0BF1">
          <w:rPr>
            <w:rStyle w:val="Hyperlink"/>
            <w:rFonts w:cs="Times New Roman"/>
          </w:rPr>
          <w:t>https://www.nyc.gov/site/nycha/about/press/pr-2025/pr-20250429.page</w:t>
        </w:r>
      </w:hyperlink>
      <w:r w:rsidRPr="006B0BF1">
        <w:rPr>
          <w:rFonts w:cs="Times New Roman"/>
        </w:rPr>
        <w:t xml:space="preserve">. </w:t>
      </w:r>
    </w:p>
  </w:footnote>
  <w:footnote w:id="17">
    <w:p w14:paraId="03D5BEB8" w14:textId="44EF38EC" w:rsidR="00EC2EDD" w:rsidRPr="009C6D33" w:rsidRDefault="00EC2EDD">
      <w:pPr>
        <w:pStyle w:val="FootnoteText"/>
        <w:rPr>
          <w:i/>
          <w:iCs/>
        </w:rPr>
      </w:pPr>
      <w:r>
        <w:rPr>
          <w:rStyle w:val="FootnoteReference"/>
        </w:rPr>
        <w:footnoteRef/>
      </w:r>
      <w:r>
        <w:t xml:space="preserve"> NYCHA, “Voting at Stanley Isaacs Houses,” </w:t>
      </w:r>
      <w:r>
        <w:rPr>
          <w:i/>
          <w:iCs/>
        </w:rPr>
        <w:t xml:space="preserve">available at </w:t>
      </w:r>
      <w:hyperlink r:id="rId11" w:history="1">
        <w:r w:rsidRPr="009C6D33">
          <w:rPr>
            <w:rStyle w:val="Hyperlink"/>
          </w:rPr>
          <w:t>https://www.nyc.gov/site/nycha/residents/voting-Isaacs.page</w:t>
        </w:r>
      </w:hyperlink>
      <w:r w:rsidRPr="009C6D33">
        <w:t>.</w:t>
      </w:r>
    </w:p>
  </w:footnote>
  <w:footnote w:id="18">
    <w:p w14:paraId="4C2CA187" w14:textId="728811B5" w:rsidR="00826104" w:rsidRPr="006B0BF1" w:rsidRDefault="00826104" w:rsidP="006B0BF1">
      <w:pPr>
        <w:pStyle w:val="FootnoteText"/>
        <w:rPr>
          <w:rFonts w:cs="Times New Roman"/>
        </w:rPr>
      </w:pPr>
      <w:r w:rsidRPr="006B0BF1">
        <w:rPr>
          <w:rStyle w:val="FootnoteReference"/>
          <w:rFonts w:cs="Times New Roman"/>
        </w:rPr>
        <w:footnoteRef/>
      </w:r>
      <w:r w:rsidRPr="006B0BF1">
        <w:rPr>
          <w:rFonts w:cs="Times New Roman"/>
        </w:rPr>
        <w:t xml:space="preserve"> </w:t>
      </w:r>
      <w:r w:rsidR="00EC2EDD" w:rsidRPr="006B0BF1">
        <w:rPr>
          <w:rFonts w:cs="Times New Roman"/>
        </w:rPr>
        <w:t xml:space="preserve">NYCHA, “NYCHA Residents From Two Bronx Developments Decide the Future of Their Homes” (Apr. 2025), </w:t>
      </w:r>
      <w:r w:rsidR="00EC2EDD" w:rsidRPr="006B0BF1">
        <w:rPr>
          <w:rFonts w:cs="Times New Roman"/>
          <w:i/>
        </w:rPr>
        <w:t xml:space="preserve">available at </w:t>
      </w:r>
      <w:hyperlink r:id="rId12" w:history="1">
        <w:r w:rsidR="00EC2EDD" w:rsidRPr="006B0BF1">
          <w:rPr>
            <w:rStyle w:val="Hyperlink"/>
            <w:rFonts w:cs="Times New Roman"/>
          </w:rPr>
          <w:t>https://www.nyc.gov/site/nycha/about/press/pr-2025/pr-20250429.page</w:t>
        </w:r>
      </w:hyperlink>
      <w:r w:rsidR="00EC2EDD" w:rsidRPr="006B0BF1">
        <w:rPr>
          <w:rFonts w:cs="Times New Roman"/>
        </w:rPr>
        <w:t xml:space="preserve">. </w:t>
      </w:r>
    </w:p>
  </w:footnote>
  <w:footnote w:id="19">
    <w:p w14:paraId="673D88BD" w14:textId="77777777" w:rsidR="00826104" w:rsidRPr="006B0BF1" w:rsidRDefault="00826104" w:rsidP="006B0BF1">
      <w:pPr>
        <w:pStyle w:val="FootnoteText"/>
        <w:rPr>
          <w:rFonts w:cs="Times New Roman"/>
        </w:rPr>
      </w:pPr>
      <w:r w:rsidRPr="006B0BF1">
        <w:rPr>
          <w:rStyle w:val="FootnoteReference"/>
          <w:rFonts w:eastAsia="Times New Roman" w:cs="Times New Roman"/>
        </w:rPr>
        <w:footnoteRef/>
      </w:r>
      <w:r w:rsidRPr="006B0BF1">
        <w:rPr>
          <w:rFonts w:eastAsia="Times New Roman" w:cs="Times New Roman"/>
        </w:rPr>
        <w:t xml:space="preserve"> Agreement between United States Department of Housing and Urban Development, the New York City Housing Authority, and New York City, Jan. 31, 2019, </w:t>
      </w:r>
      <w:r w:rsidRPr="006B0BF1">
        <w:rPr>
          <w:rFonts w:eastAsia="Times New Roman" w:cs="Times New Roman"/>
          <w:i/>
          <w:iCs/>
        </w:rPr>
        <w:t>available at</w:t>
      </w:r>
      <w:r w:rsidRPr="006B0BF1">
        <w:rPr>
          <w:rFonts w:eastAsia="Times New Roman" w:cs="Times New Roman"/>
        </w:rPr>
        <w:t xml:space="preserve"> </w:t>
      </w:r>
      <w:hyperlink r:id="rId13" w:history="1">
        <w:r w:rsidRPr="006B0BF1">
          <w:rPr>
            <w:rStyle w:val="Hyperlink"/>
            <w:rFonts w:eastAsia="Times New Roman" w:cs="Times New Roman"/>
          </w:rPr>
          <w:t>https://www.nyc.gov/assets/nycha/downloads/pdf/nycha-monitoring-agreement.pdf</w:t>
        </w:r>
      </w:hyperlink>
      <w:r w:rsidRPr="006B0BF1">
        <w:rPr>
          <w:rFonts w:eastAsia="Times New Roman" w:cs="Times New Roman"/>
        </w:rPr>
        <w:t xml:space="preserve">. </w:t>
      </w:r>
    </w:p>
  </w:footnote>
  <w:footnote w:id="20">
    <w:p w14:paraId="3EB3AC8D" w14:textId="77777777" w:rsidR="00826104" w:rsidRPr="006B0BF1" w:rsidRDefault="00826104" w:rsidP="006B0BF1">
      <w:pPr>
        <w:pStyle w:val="FootnoteText"/>
        <w:rPr>
          <w:rFonts w:cs="Times New Roman"/>
        </w:rPr>
      </w:pPr>
      <w:r w:rsidRPr="006B0BF1">
        <w:rPr>
          <w:rStyle w:val="FootnoteReference"/>
          <w:rFonts w:eastAsia="Times New Roman" w:cs="Times New Roman"/>
        </w:rPr>
        <w:footnoteRef/>
      </w:r>
      <w:r w:rsidRPr="006B0BF1">
        <w:rPr>
          <w:rFonts w:eastAsia="Times New Roman" w:cs="Times New Roman"/>
        </w:rPr>
        <w:t xml:space="preserve"> </w:t>
      </w:r>
      <w:r w:rsidRPr="006B0BF1">
        <w:rPr>
          <w:rFonts w:eastAsia="Times New Roman" w:cs="Times New Roman"/>
          <w:i/>
          <w:iCs/>
        </w:rPr>
        <w:t>Id</w:t>
      </w:r>
      <w:r w:rsidRPr="006B0BF1">
        <w:rPr>
          <w:rFonts w:eastAsia="Times New Roman" w:cs="Times New Roman"/>
        </w:rPr>
        <w:t>.</w:t>
      </w:r>
    </w:p>
  </w:footnote>
  <w:footnote w:id="21">
    <w:p w14:paraId="0DEF7AA9" w14:textId="77777777" w:rsidR="00826104" w:rsidRPr="006B0BF1" w:rsidRDefault="00826104" w:rsidP="006B0BF1">
      <w:pPr>
        <w:pStyle w:val="FootnoteText"/>
        <w:rPr>
          <w:rFonts w:cs="Times New Roman"/>
        </w:rPr>
      </w:pPr>
      <w:r w:rsidRPr="006B0BF1">
        <w:rPr>
          <w:rStyle w:val="FootnoteReference"/>
          <w:rFonts w:eastAsia="Times New Roman" w:cs="Times New Roman"/>
        </w:rPr>
        <w:footnoteRef/>
      </w:r>
      <w:r w:rsidRPr="006B0BF1">
        <w:rPr>
          <w:rFonts w:eastAsia="Times New Roman" w:cs="Times New Roman"/>
        </w:rPr>
        <w:t xml:space="preserve"> </w:t>
      </w:r>
      <w:r w:rsidRPr="006B0BF1">
        <w:rPr>
          <w:rFonts w:eastAsia="Times New Roman" w:cs="Times New Roman"/>
          <w:i/>
          <w:iCs/>
        </w:rPr>
        <w:t>U.S. Attorney Announces Application Process For Second Term Of NYCHA Monitorship</w:t>
      </w:r>
      <w:r w:rsidRPr="006B0BF1">
        <w:rPr>
          <w:rFonts w:eastAsia="Times New Roman" w:cs="Times New Roman"/>
        </w:rPr>
        <w:t>, May 24, 2023</w:t>
      </w:r>
      <w:r w:rsidRPr="006B0BF1">
        <w:rPr>
          <w:rFonts w:eastAsia="Times New Roman" w:cs="Times New Roman"/>
          <w:i/>
          <w:iCs/>
        </w:rPr>
        <w:t>, available at</w:t>
      </w:r>
      <w:r w:rsidRPr="006B0BF1">
        <w:rPr>
          <w:rFonts w:eastAsia="Times New Roman" w:cs="Times New Roman"/>
        </w:rPr>
        <w:t xml:space="preserve"> </w:t>
      </w:r>
      <w:hyperlink r:id="rId14" w:history="1">
        <w:r w:rsidRPr="006B0BF1">
          <w:rPr>
            <w:rStyle w:val="Hyperlink"/>
            <w:rFonts w:eastAsia="Times New Roman" w:cs="Times New Roman"/>
          </w:rPr>
          <w:t>https://www.justice.gov/usao-sdny/pr/us-attorney-announces-application-process-second-term-nycha-monitorship</w:t>
        </w:r>
      </w:hyperlink>
      <w:r w:rsidRPr="006B0BF1">
        <w:rPr>
          <w:rFonts w:eastAsia="Times New Roman" w:cs="Times New Roman"/>
        </w:rPr>
        <w:t xml:space="preserve">; </w:t>
      </w:r>
      <w:r w:rsidRPr="006B0BF1">
        <w:rPr>
          <w:rFonts w:eastAsia="Times New Roman" w:cs="Times New Roman"/>
          <w:i/>
          <w:iCs/>
        </w:rPr>
        <w:t>See</w:t>
      </w:r>
      <w:r w:rsidRPr="006B0BF1">
        <w:rPr>
          <w:rFonts w:eastAsia="Times New Roman" w:cs="Times New Roman"/>
        </w:rPr>
        <w:t xml:space="preserve"> website for the Independent, Federal co-Monitors of NYCHA, </w:t>
      </w:r>
      <w:r w:rsidRPr="006B0BF1">
        <w:rPr>
          <w:rFonts w:eastAsia="Times New Roman" w:cs="Times New Roman"/>
          <w:i/>
          <w:iCs/>
        </w:rPr>
        <w:t>available at</w:t>
      </w:r>
      <w:r w:rsidRPr="006B0BF1">
        <w:rPr>
          <w:rFonts w:eastAsia="Times New Roman" w:cs="Times New Roman"/>
        </w:rPr>
        <w:t xml:space="preserve"> </w:t>
      </w:r>
      <w:hyperlink r:id="rId15" w:history="1">
        <w:r w:rsidRPr="006B0BF1">
          <w:rPr>
            <w:rStyle w:val="Hyperlink"/>
            <w:rFonts w:eastAsia="Times New Roman" w:cs="Times New Roman"/>
          </w:rPr>
          <w:t>https://www.nychamonitor.com/</w:t>
        </w:r>
      </w:hyperlink>
      <w:r w:rsidRPr="006B0BF1">
        <w:rPr>
          <w:rFonts w:eastAsia="Times New Roman" w:cs="Times New Roman"/>
        </w:rPr>
        <w:t>.</w:t>
      </w:r>
    </w:p>
  </w:footnote>
  <w:footnote w:id="22">
    <w:p w14:paraId="37416C47" w14:textId="77777777" w:rsidR="00826104" w:rsidRPr="006B0BF1" w:rsidRDefault="00826104" w:rsidP="006B0BF1">
      <w:pPr>
        <w:spacing w:after="0" w:line="240" w:lineRule="auto"/>
        <w:rPr>
          <w:rFonts w:eastAsia="Times New Roman" w:cs="Times New Roman"/>
          <w:sz w:val="20"/>
          <w:szCs w:val="20"/>
        </w:rPr>
      </w:pPr>
      <w:r w:rsidRPr="006B0BF1">
        <w:rPr>
          <w:rStyle w:val="FootnoteReference"/>
          <w:rFonts w:eastAsia="Times New Roman" w:cs="Times New Roman"/>
          <w:sz w:val="20"/>
          <w:szCs w:val="20"/>
        </w:rPr>
        <w:footnoteRef/>
      </w:r>
      <w:r w:rsidRPr="006B0BF1">
        <w:rPr>
          <w:rFonts w:eastAsia="Times New Roman" w:cs="Times New Roman"/>
          <w:sz w:val="20"/>
          <w:szCs w:val="20"/>
        </w:rPr>
        <w:t xml:space="preserve"> “Reports”, NYCHA Monitorship, </w:t>
      </w:r>
      <w:r w:rsidRPr="006B0BF1">
        <w:rPr>
          <w:rFonts w:eastAsia="Times New Roman" w:cs="Times New Roman"/>
          <w:i/>
          <w:iCs/>
          <w:sz w:val="20"/>
          <w:szCs w:val="20"/>
        </w:rPr>
        <w:t>available at</w:t>
      </w:r>
      <w:r w:rsidRPr="006B0BF1">
        <w:rPr>
          <w:rFonts w:eastAsia="Times New Roman" w:cs="Times New Roman"/>
          <w:sz w:val="20"/>
          <w:szCs w:val="20"/>
        </w:rPr>
        <w:t xml:space="preserve"> </w:t>
      </w:r>
      <w:hyperlink r:id="rId16">
        <w:r w:rsidRPr="006B0BF1">
          <w:rPr>
            <w:rStyle w:val="Hyperlink"/>
            <w:rFonts w:eastAsia="Times New Roman" w:cs="Times New Roman"/>
            <w:sz w:val="20"/>
            <w:szCs w:val="20"/>
          </w:rPr>
          <w:t>https://www.nychamonitor.com/reports</w:t>
        </w:r>
      </w:hyperlink>
      <w:r w:rsidRPr="006B0BF1">
        <w:rPr>
          <w:rFonts w:eastAsia="Times New Roman" w:cs="Times New Roman"/>
          <w:sz w:val="20"/>
          <w:szCs w:val="20"/>
        </w:rPr>
        <w:t>.</w:t>
      </w:r>
    </w:p>
  </w:footnote>
  <w:footnote w:id="23">
    <w:p w14:paraId="63E3B330" w14:textId="0E3B610E" w:rsidR="00173F75" w:rsidRPr="006B0BF1" w:rsidRDefault="00173F75" w:rsidP="006B0BF1">
      <w:pPr>
        <w:pStyle w:val="FootnoteText"/>
        <w:rPr>
          <w:rFonts w:cs="Times New Roman"/>
        </w:rPr>
      </w:pPr>
      <w:r w:rsidRPr="006B0BF1">
        <w:rPr>
          <w:rStyle w:val="FootnoteReference"/>
          <w:rFonts w:cs="Times New Roman"/>
        </w:rPr>
        <w:footnoteRef/>
      </w:r>
      <w:r w:rsidR="081377DC" w:rsidRPr="006B0BF1">
        <w:rPr>
          <w:rFonts w:cs="Times New Roman"/>
        </w:rPr>
        <w:t xml:space="preserve"> </w:t>
      </w:r>
      <w:r w:rsidR="081377DC" w:rsidRPr="006B0BF1">
        <w:rPr>
          <w:rFonts w:eastAsia="Calibri" w:cs="Times New Roman"/>
          <w:lang w:eastAsia="zh-CN"/>
        </w:rPr>
        <w:t>The triennial New York City Housing Vacancy Survey found in 2023 that the City’s net rental vacancy rate had dropped to 1.4 percent, the lowest since 1968, meaning that only 1.4 percent of rental housing stock in NYC was available to rent.</w:t>
      </w:r>
      <w:r w:rsidR="006B0BF1" w:rsidRPr="006B0BF1">
        <w:rPr>
          <w:rFonts w:eastAsia="Calibri" w:cs="Times New Roman"/>
          <w:lang w:eastAsia="zh-CN"/>
        </w:rPr>
        <w:t xml:space="preserve"> </w:t>
      </w:r>
      <w:r w:rsidR="081377DC" w:rsidRPr="006B0BF1">
        <w:rPr>
          <w:rFonts w:cs="Times New Roman"/>
        </w:rPr>
        <w:t xml:space="preserve">New York City Department of Housing Preservation and Development, “New York City’s Vacancy Rate Reaches Historic Low of 1.4 Percent, Demanding Urgent Action &amp; New Affordable Housing” (Feb. 8, 2024), </w:t>
      </w:r>
      <w:r w:rsidR="081377DC" w:rsidRPr="006B0BF1">
        <w:rPr>
          <w:rFonts w:cs="Times New Roman"/>
          <w:i/>
          <w:iCs/>
        </w:rPr>
        <w:t>available at</w:t>
      </w:r>
      <w:r w:rsidR="081377DC" w:rsidRPr="006B0BF1">
        <w:rPr>
          <w:rFonts w:cs="Times New Roman"/>
        </w:rPr>
        <w:t xml:space="preserve"> </w:t>
      </w:r>
      <w:hyperlink r:id="rId17" w:anchor="/0">
        <w:r w:rsidR="081377DC" w:rsidRPr="006B0BF1">
          <w:rPr>
            <w:rStyle w:val="Hyperlink"/>
            <w:rFonts w:cs="Times New Roman"/>
          </w:rPr>
          <w:t>https://www.nyc.gov/site/hpd/news/007-24/new-york-city-s-vacancy-rate-reaches-historic-low-1-4-percent-demanding-urgent-action-new#/0</w:t>
        </w:r>
      </w:hyperlink>
      <w:r w:rsidR="081377DC" w:rsidRPr="006B0BF1">
        <w:rPr>
          <w:rFonts w:cs="Times New Roman"/>
        </w:rPr>
        <w:t xml:space="preserve">. </w:t>
      </w:r>
    </w:p>
  </w:footnote>
  <w:footnote w:id="24">
    <w:p w14:paraId="315E18A6" w14:textId="5BC9AAD7" w:rsidR="00826104" w:rsidRPr="006B0BF1" w:rsidRDefault="00826104" w:rsidP="006B0BF1">
      <w:pPr>
        <w:pStyle w:val="FootnoteText"/>
        <w:rPr>
          <w:rFonts w:cs="Times New Roman"/>
        </w:rPr>
      </w:pPr>
      <w:r w:rsidRPr="006B0BF1">
        <w:rPr>
          <w:rStyle w:val="FootnoteReference"/>
          <w:rFonts w:cs="Times New Roman"/>
        </w:rPr>
        <w:footnoteRef/>
      </w:r>
      <w:r w:rsidR="081377DC" w:rsidRPr="006B0BF1">
        <w:rPr>
          <w:rFonts w:cs="Times New Roman"/>
        </w:rPr>
        <w:t xml:space="preserve"> NYCHA 2024 Fact Sheet (Mar. 2024), </w:t>
      </w:r>
      <w:r w:rsidR="081377DC" w:rsidRPr="006B0BF1">
        <w:rPr>
          <w:rFonts w:cs="Times New Roman"/>
          <w:i/>
          <w:iCs/>
        </w:rPr>
        <w:t>available at</w:t>
      </w:r>
      <w:r w:rsidR="081377DC" w:rsidRPr="006B0BF1">
        <w:rPr>
          <w:rFonts w:cs="Times New Roman"/>
        </w:rPr>
        <w:t xml:space="preserve"> </w:t>
      </w:r>
      <w:hyperlink r:id="rId18">
        <w:r w:rsidR="081377DC" w:rsidRPr="006B0BF1">
          <w:rPr>
            <w:rStyle w:val="Hyperlink"/>
            <w:rFonts w:cs="Times New Roman"/>
          </w:rPr>
          <w:t>https://www.nyc.gov/assets/nycha/downloads/pdf/NYCHA_Fact_Sheet.pdf</w:t>
        </w:r>
      </w:hyperlink>
      <w:r w:rsidR="008E2DB0">
        <w:rPr>
          <w:rFonts w:cs="Times New Roman"/>
        </w:rPr>
        <w:t xml:space="preserve">; NYCHA 2025 Fact Sheet (Jan. 2025), </w:t>
      </w:r>
      <w:r w:rsidR="008E2DB0">
        <w:rPr>
          <w:rFonts w:cs="Times New Roman"/>
          <w:i/>
          <w:iCs/>
        </w:rPr>
        <w:t xml:space="preserve">available at </w:t>
      </w:r>
      <w:hyperlink r:id="rId19" w:history="1">
        <w:r w:rsidR="008E2DB0" w:rsidRPr="00121DE9">
          <w:rPr>
            <w:rStyle w:val="Hyperlink"/>
            <w:rFonts w:cs="Times New Roman"/>
          </w:rPr>
          <w:t>https://www.nyc.gov/assets/nycha/downloads/pdf/NYCHA_Fact_Sheet.pdf</w:t>
        </w:r>
      </w:hyperlink>
    </w:p>
  </w:footnote>
  <w:footnote w:id="25">
    <w:p w14:paraId="01E4547A" w14:textId="38D50965" w:rsidR="00826104" w:rsidRPr="006B0BF1" w:rsidRDefault="00826104" w:rsidP="006B0BF1">
      <w:pPr>
        <w:pStyle w:val="FootnoteText"/>
        <w:rPr>
          <w:rFonts w:cs="Times New Roman"/>
        </w:rPr>
      </w:pPr>
      <w:r w:rsidRPr="006B0BF1">
        <w:rPr>
          <w:rStyle w:val="FootnoteReference"/>
          <w:rFonts w:cs="Times New Roman"/>
        </w:rPr>
        <w:footnoteRef/>
      </w:r>
      <w:r w:rsidR="081377DC" w:rsidRPr="006B0BF1">
        <w:rPr>
          <w:rFonts w:cs="Times New Roman"/>
        </w:rPr>
        <w:t xml:space="preserve"> </w:t>
      </w:r>
      <w:r w:rsidR="00A5126F">
        <w:rPr>
          <w:rFonts w:cs="Times New Roman"/>
        </w:rPr>
        <w:t xml:space="preserve">NYCHA 2025 Fact Sheet (Jan. 2025), </w:t>
      </w:r>
      <w:r w:rsidR="00A5126F">
        <w:rPr>
          <w:rFonts w:cs="Times New Roman"/>
          <w:i/>
          <w:iCs/>
        </w:rPr>
        <w:t xml:space="preserve">available at </w:t>
      </w:r>
      <w:hyperlink r:id="rId20" w:history="1">
        <w:r w:rsidR="007E2A72" w:rsidRPr="009C6D33">
          <w:rPr>
            <w:rStyle w:val="Hyperlink"/>
          </w:rPr>
          <w:t>https://www.nyc.gov/assets/nycha/downloads/pdf/NYCHA_Fact_Sheet.pdf</w:t>
        </w:r>
      </w:hyperlink>
      <w:r w:rsidR="081377DC" w:rsidRPr="006B0BF1">
        <w:rPr>
          <w:rFonts w:cs="Times New Roman"/>
        </w:rPr>
        <w:t>;</w:t>
      </w:r>
      <w:r w:rsidR="007E2A72">
        <w:rPr>
          <w:rFonts w:cs="Times New Roman"/>
        </w:rPr>
        <w:t xml:space="preserve"> </w:t>
      </w:r>
      <w:r w:rsidR="081377DC" w:rsidRPr="006B0BF1">
        <w:rPr>
          <w:rFonts w:cs="Times New Roman"/>
        </w:rPr>
        <w:t xml:space="preserve">“Mayor’s Management Report: Preliminary Fiscal 2025” (Jan. 2025), </w:t>
      </w:r>
      <w:r w:rsidR="081377DC" w:rsidRPr="006B0BF1">
        <w:rPr>
          <w:rFonts w:cs="Times New Roman"/>
          <w:i/>
          <w:iCs/>
        </w:rPr>
        <w:t xml:space="preserve">available at </w:t>
      </w:r>
      <w:hyperlink r:id="rId21">
        <w:r w:rsidR="081377DC" w:rsidRPr="006B0BF1">
          <w:rPr>
            <w:rStyle w:val="Hyperlink"/>
            <w:rFonts w:cs="Times New Roman"/>
          </w:rPr>
          <w:t>https://www.nyc.gov/assets/operations/downloads/pdf/pmmr2025/2025_pmmr.pdf</w:t>
        </w:r>
      </w:hyperlink>
      <w:r w:rsidR="081377DC" w:rsidRPr="006B0BF1">
        <w:rPr>
          <w:rStyle w:val="Hyperlink"/>
          <w:rFonts w:cs="Times New Roman"/>
          <w:color w:val="auto"/>
          <w:u w:val="none"/>
        </w:rPr>
        <w:t xml:space="preserve"> at 369.</w:t>
      </w:r>
    </w:p>
  </w:footnote>
  <w:footnote w:id="26">
    <w:p w14:paraId="3BD9BF8C" w14:textId="22AEB004" w:rsidR="0050567F" w:rsidRPr="00FD2E3E" w:rsidRDefault="00033319">
      <w:pPr>
        <w:pStyle w:val="FootnoteText"/>
      </w:pPr>
      <w:r>
        <w:rPr>
          <w:rStyle w:val="FootnoteReference"/>
        </w:rPr>
        <w:footnoteRef/>
      </w:r>
      <w:r>
        <w:t xml:space="preserve"> “Vacancies in NYCHA Properties” </w:t>
      </w:r>
      <w:r w:rsidR="00FD2E3E">
        <w:t xml:space="preserve">(Jan. 2023), </w:t>
      </w:r>
      <w:r w:rsidR="00FD2E3E">
        <w:rPr>
          <w:i/>
          <w:iCs/>
        </w:rPr>
        <w:t xml:space="preserve">available at </w:t>
      </w:r>
      <w:hyperlink r:id="rId22" w:history="1">
        <w:r w:rsidR="00FD2E3E" w:rsidRPr="009C6D33">
          <w:rPr>
            <w:rStyle w:val="Hyperlink"/>
          </w:rPr>
          <w:t>https://council.nyc.gov/data/nycha-vacancy/</w:t>
        </w:r>
      </w:hyperlink>
      <w:r w:rsidR="00FD2E3E">
        <w:t xml:space="preserve">. </w:t>
      </w:r>
      <w:r w:rsidR="0050567F">
        <w:t xml:space="preserve">For NYCHA’s occupancy rate for each fiscal year, see Mayor’s Management Reports for years 2006 through 2025, available at </w:t>
      </w:r>
      <w:hyperlink r:id="rId23" w:history="1">
        <w:r w:rsidR="0050567F" w:rsidRPr="00A368D6">
          <w:rPr>
            <w:rStyle w:val="Hyperlink"/>
          </w:rPr>
          <w:t>https://www.nyc.gov/site/operations/reports/mmr.page</w:t>
        </w:r>
      </w:hyperlink>
      <w:r w:rsidR="0050567F">
        <w:t>.</w:t>
      </w:r>
    </w:p>
  </w:footnote>
  <w:footnote w:id="27">
    <w:p w14:paraId="0CB03CB2" w14:textId="75B425FC" w:rsidR="081377DC" w:rsidRPr="006B0BF1" w:rsidRDefault="081377DC" w:rsidP="006B0BF1">
      <w:pPr>
        <w:pStyle w:val="FootnoteText"/>
        <w:rPr>
          <w:rStyle w:val="Hyperlink"/>
          <w:rFonts w:cs="Times New Roman"/>
          <w:color w:val="auto"/>
          <w:u w:val="none"/>
        </w:rPr>
      </w:pPr>
      <w:r w:rsidRPr="006B0BF1">
        <w:rPr>
          <w:rStyle w:val="FootnoteReference"/>
          <w:rFonts w:cs="Times New Roman"/>
        </w:rPr>
        <w:footnoteRef/>
      </w:r>
      <w:r w:rsidRPr="006B0BF1">
        <w:rPr>
          <w:rFonts w:cs="Times New Roman"/>
        </w:rPr>
        <w:t xml:space="preserve"> “Mayor’s Management Report” (Sept. 2025), </w:t>
      </w:r>
      <w:r w:rsidRPr="006B0BF1">
        <w:rPr>
          <w:rFonts w:cs="Times New Roman"/>
          <w:i/>
          <w:iCs/>
        </w:rPr>
        <w:t>available at</w:t>
      </w:r>
      <w:r w:rsidRPr="006B0BF1">
        <w:rPr>
          <w:rFonts w:cs="Times New Roman"/>
        </w:rPr>
        <w:t xml:space="preserve"> </w:t>
      </w:r>
      <w:hyperlink r:id="rId24">
        <w:r w:rsidRPr="006B0BF1">
          <w:rPr>
            <w:rStyle w:val="Hyperlink"/>
            <w:rFonts w:cs="Times New Roman"/>
          </w:rPr>
          <w:t>https://www.nyc.gov/assets/operations/downloads/pdf/pmmr2026/nycha.pdf.</w:t>
        </w:r>
      </w:hyperlink>
    </w:p>
  </w:footnote>
  <w:footnote w:id="28">
    <w:p w14:paraId="14D38F73" w14:textId="1D92E662" w:rsidR="00CB568F" w:rsidRDefault="00CB568F">
      <w:pPr>
        <w:pStyle w:val="FootnoteText"/>
      </w:pPr>
      <w:r>
        <w:rPr>
          <w:rStyle w:val="FootnoteReference"/>
        </w:rPr>
        <w:footnoteRef/>
      </w:r>
      <w:r>
        <w:t xml:space="preserve"> </w:t>
      </w:r>
      <w:r w:rsidRPr="00CB568F">
        <w:t xml:space="preserve">Mayor’s Management Report: Preliminary Fiscal 2025” (Jan. 2025), </w:t>
      </w:r>
      <w:r w:rsidRPr="00CB568F">
        <w:rPr>
          <w:i/>
          <w:iCs/>
        </w:rPr>
        <w:t xml:space="preserve">available at </w:t>
      </w:r>
      <w:hyperlink r:id="rId25">
        <w:r w:rsidRPr="00CB568F">
          <w:rPr>
            <w:rStyle w:val="Hyperlink"/>
          </w:rPr>
          <w:t>https://www.nyc.gov/assets/operations/downloads/pdf/pmmr2025/2025_pmmr.pdf</w:t>
        </w:r>
      </w:hyperlink>
      <w:r w:rsidRPr="00CB568F">
        <w:t xml:space="preserve"> at 368.</w:t>
      </w:r>
    </w:p>
  </w:footnote>
  <w:footnote w:id="29">
    <w:p w14:paraId="63A09F58" w14:textId="370A2AE2" w:rsidR="00645662" w:rsidRDefault="00645662">
      <w:pPr>
        <w:pStyle w:val="FootnoteText"/>
      </w:pPr>
      <w:r>
        <w:rPr>
          <w:rStyle w:val="FootnoteReference"/>
        </w:rPr>
        <w:footnoteRef/>
      </w:r>
      <w:r>
        <w:t xml:space="preserve"> </w:t>
      </w:r>
      <w:r w:rsidRPr="006B0BF1">
        <w:rPr>
          <w:rFonts w:cs="Times New Roman"/>
        </w:rPr>
        <w:t>Christopher</w:t>
      </w:r>
      <w:r>
        <w:rPr>
          <w:rFonts w:cs="Times New Roman"/>
        </w:rPr>
        <w:t xml:space="preserve"> Ryan</w:t>
      </w:r>
      <w:r w:rsidRPr="006B0BF1">
        <w:rPr>
          <w:rFonts w:cs="Times New Roman"/>
        </w:rPr>
        <w:t xml:space="preserve">, Ralph Iannuzzi, and Lauren Kropiewnicki, DOI Investigation Into the Reclamation of Vacant NYCHA Apartments, New York City Department of Investigations, March 2026, </w:t>
      </w:r>
      <w:r w:rsidRPr="006B0BF1">
        <w:rPr>
          <w:rFonts w:cs="Times New Roman"/>
          <w:i/>
          <w:iCs/>
        </w:rPr>
        <w:t>available at</w:t>
      </w:r>
      <w:r>
        <w:rPr>
          <w:rFonts w:cs="Times New Roman"/>
        </w:rPr>
        <w:t xml:space="preserve"> </w:t>
      </w:r>
      <w:hyperlink r:id="rId26" w:history="1">
        <w:r w:rsidRPr="00F86ACF">
          <w:rPr>
            <w:rStyle w:val="Hyperlink"/>
            <w:rFonts w:cs="Times New Roman"/>
          </w:rPr>
          <w:t>https://www.nyc.gov/assets/doi/reports/pdf/2026/05NYCHAReclaim.Release.Rpt.03.03.2026.pdf</w:t>
        </w:r>
      </w:hyperlink>
      <w:r>
        <w:rPr>
          <w:rFonts w:cs="Times New Roman"/>
        </w:rPr>
        <w:t xml:space="preserve"> [hereinafter DOI Report].</w:t>
      </w:r>
    </w:p>
  </w:footnote>
  <w:footnote w:id="30">
    <w:p w14:paraId="61745502" w14:textId="77777777" w:rsidR="00E31185" w:rsidRDefault="00E31185" w:rsidP="00E31185">
      <w:pPr>
        <w:pStyle w:val="FootnoteText"/>
      </w:pPr>
      <w:r>
        <w:rPr>
          <w:rStyle w:val="FootnoteReference"/>
        </w:rPr>
        <w:footnoteRef/>
      </w:r>
      <w:r>
        <w:t xml:space="preserve"> </w:t>
      </w:r>
      <w:r w:rsidRPr="006B0BF1">
        <w:rPr>
          <w:rFonts w:cs="Times New Roman"/>
          <w:i/>
          <w:iCs/>
        </w:rPr>
        <w:t>Id.</w:t>
      </w:r>
    </w:p>
  </w:footnote>
  <w:footnote w:id="31">
    <w:p w14:paraId="46EE10EE" w14:textId="77777777" w:rsidR="00E31185" w:rsidRDefault="00E31185" w:rsidP="00E31185">
      <w:pPr>
        <w:pStyle w:val="FootnoteText"/>
      </w:pPr>
      <w:r>
        <w:rPr>
          <w:rStyle w:val="FootnoteReference"/>
        </w:rPr>
        <w:footnoteRef/>
      </w:r>
      <w:r>
        <w:t xml:space="preserve"> </w:t>
      </w:r>
      <w:r>
        <w:rPr>
          <w:rFonts w:cs="Times New Roman"/>
          <w:i/>
          <w:iCs/>
        </w:rPr>
        <w:t>Id</w:t>
      </w:r>
      <w:r>
        <w:rPr>
          <w:rFonts w:cs="Times New Roman"/>
        </w:rPr>
        <w:t>.</w:t>
      </w:r>
    </w:p>
  </w:footnote>
  <w:footnote w:id="32">
    <w:p w14:paraId="360C672F" w14:textId="77777777" w:rsidR="00E31185" w:rsidRDefault="00E31185" w:rsidP="00E31185">
      <w:pPr>
        <w:pStyle w:val="FootnoteText"/>
      </w:pPr>
      <w:r>
        <w:rPr>
          <w:rStyle w:val="FootnoteReference"/>
        </w:rPr>
        <w:footnoteRef/>
      </w:r>
      <w:r>
        <w:t xml:space="preserve"> </w:t>
      </w:r>
      <w:r w:rsidRPr="006B0BF1">
        <w:rPr>
          <w:rFonts w:cs="Times New Roman"/>
          <w:i/>
          <w:iCs/>
        </w:rPr>
        <w:t>Id.</w:t>
      </w:r>
    </w:p>
  </w:footnote>
  <w:footnote w:id="33">
    <w:p w14:paraId="0DF582DC" w14:textId="5FD630AC"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00645662">
        <w:rPr>
          <w:rFonts w:cs="Times New Roman"/>
          <w:i/>
          <w:iCs/>
          <w:sz w:val="20"/>
          <w:szCs w:val="20"/>
        </w:rPr>
        <w:t>Id.</w:t>
      </w:r>
    </w:p>
  </w:footnote>
  <w:footnote w:id="34">
    <w:p w14:paraId="50E88AD2" w14:textId="39514BDE"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i/>
          <w:iCs/>
          <w:sz w:val="20"/>
          <w:szCs w:val="20"/>
        </w:rPr>
        <w:t xml:space="preserve"> Id.</w:t>
      </w:r>
    </w:p>
  </w:footnote>
  <w:footnote w:id="35">
    <w:p w14:paraId="7740BDDC" w14:textId="159445A3" w:rsidR="00DC7164" w:rsidRPr="00C60904" w:rsidRDefault="00DC7164" w:rsidP="00DC7164">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000900B3">
        <w:rPr>
          <w:rFonts w:cs="Times New Roman"/>
          <w:i/>
          <w:iCs/>
          <w:sz w:val="20"/>
          <w:szCs w:val="20"/>
        </w:rPr>
        <w:t>Id.</w:t>
      </w:r>
    </w:p>
  </w:footnote>
  <w:footnote w:id="36">
    <w:p w14:paraId="6D484C95" w14:textId="77777777" w:rsidR="00DC7164" w:rsidRDefault="00DC7164" w:rsidP="00DC7164">
      <w:pPr>
        <w:pStyle w:val="FootnoteText"/>
      </w:pPr>
      <w:r>
        <w:rPr>
          <w:rStyle w:val="FootnoteReference"/>
        </w:rPr>
        <w:footnoteRef/>
      </w:r>
      <w:r>
        <w:t xml:space="preserve"> “Int. No. 865-A”, </w:t>
      </w:r>
      <w:r>
        <w:rPr>
          <w:i/>
          <w:iCs/>
        </w:rPr>
        <w:t xml:space="preserve">available at </w:t>
      </w:r>
      <w:hyperlink r:id="rId27" w:history="1">
        <w:r w:rsidRPr="00F86ACF">
          <w:rPr>
            <w:rStyle w:val="Hyperlink"/>
          </w:rPr>
          <w:t>https://legistar.council.nyc.gov/LegislationDetail.aspx?ID=3498451&amp;GUID=32932F9A-CBB0-4413-95F3-4AFCCCE64F41&amp;Options=Advanced&amp;Search=</w:t>
        </w:r>
      </w:hyperlink>
      <w:r>
        <w:t xml:space="preserve">. </w:t>
      </w:r>
    </w:p>
  </w:footnote>
  <w:footnote w:id="37">
    <w:p w14:paraId="09AED2AA" w14:textId="3EF7E09B" w:rsidR="00DC7164" w:rsidRPr="000900B3" w:rsidRDefault="00DC7164" w:rsidP="00DC7164">
      <w:pPr>
        <w:spacing w:after="0" w:line="240" w:lineRule="auto"/>
        <w:rPr>
          <w:rFonts w:cs="Times New Roman"/>
          <w:sz w:val="20"/>
          <w:szCs w:val="20"/>
        </w:rPr>
      </w:pPr>
      <w:r w:rsidRPr="006B0BF1">
        <w:rPr>
          <w:rStyle w:val="FootnoteReference"/>
          <w:rFonts w:cs="Times New Roman"/>
          <w:sz w:val="20"/>
          <w:szCs w:val="20"/>
        </w:rPr>
        <w:footnoteRef/>
      </w:r>
      <w:r w:rsidRPr="00EF198F">
        <w:rPr>
          <w:rFonts w:cs="Times New Roman"/>
          <w:sz w:val="20"/>
          <w:szCs w:val="20"/>
        </w:rPr>
        <w:t xml:space="preserve"> </w:t>
      </w:r>
      <w:r w:rsidR="000900B3">
        <w:rPr>
          <w:rFonts w:cs="Times New Roman"/>
          <w:sz w:val="20"/>
          <w:szCs w:val="20"/>
        </w:rPr>
        <w:t xml:space="preserve">DOI Report, </w:t>
      </w:r>
      <w:r w:rsidR="000900B3">
        <w:rPr>
          <w:rFonts w:cs="Times New Roman"/>
          <w:i/>
          <w:iCs/>
          <w:sz w:val="20"/>
          <w:szCs w:val="20"/>
        </w:rPr>
        <w:t xml:space="preserve">supra </w:t>
      </w:r>
      <w:r w:rsidR="000900B3">
        <w:rPr>
          <w:rFonts w:cs="Times New Roman"/>
          <w:sz w:val="20"/>
          <w:szCs w:val="20"/>
        </w:rPr>
        <w:t>note 29.</w:t>
      </w:r>
    </w:p>
  </w:footnote>
  <w:footnote w:id="38">
    <w:p w14:paraId="695089A4" w14:textId="77777777" w:rsidR="00DC7164" w:rsidRPr="006B0BF1" w:rsidRDefault="00DC7164" w:rsidP="00DC7164">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Pr>
          <w:rFonts w:cs="Times New Roman"/>
          <w:i/>
          <w:iCs/>
          <w:sz w:val="20"/>
          <w:szCs w:val="20"/>
        </w:rPr>
        <w:t>Id.</w:t>
      </w:r>
    </w:p>
  </w:footnote>
  <w:footnote w:id="39">
    <w:p w14:paraId="08B7ACDD" w14:textId="77777777" w:rsidR="006E3CF2" w:rsidRPr="006B0BF1" w:rsidRDefault="006E3CF2" w:rsidP="006E3CF2">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Pr>
          <w:rFonts w:cs="Times New Roman"/>
          <w:i/>
          <w:iCs/>
          <w:sz w:val="20"/>
          <w:szCs w:val="20"/>
        </w:rPr>
        <w:t>Id.</w:t>
      </w:r>
    </w:p>
  </w:footnote>
  <w:footnote w:id="40">
    <w:p w14:paraId="40F483FD" w14:textId="35DAB86E" w:rsidR="081377DC" w:rsidRPr="006B0BF1" w:rsidRDefault="081377DC"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City of New York Office of the Comptroller, “Audit Report on the New York City Housing Authority’s Management of Vacant Apartments” (Jun. 24, 2015), </w:t>
      </w:r>
      <w:r w:rsidRPr="006B0BF1">
        <w:rPr>
          <w:rFonts w:cs="Times New Roman"/>
          <w:i/>
          <w:iCs/>
          <w:sz w:val="20"/>
          <w:szCs w:val="20"/>
        </w:rPr>
        <w:t>available at</w:t>
      </w:r>
      <w:r w:rsidRPr="006B0BF1">
        <w:rPr>
          <w:rFonts w:cs="Times New Roman"/>
          <w:sz w:val="20"/>
          <w:szCs w:val="20"/>
        </w:rPr>
        <w:t xml:space="preserve"> </w:t>
      </w:r>
      <w:hyperlink r:id="rId28">
        <w:r w:rsidRPr="006B0BF1">
          <w:rPr>
            <w:rStyle w:val="Hyperlink"/>
            <w:rFonts w:cs="Times New Roman"/>
            <w:sz w:val="20"/>
            <w:szCs w:val="20"/>
          </w:rPr>
          <w:t>https://comptroller.nyc.gov/reports/audit-report-on-the-new-york-city-housing-authoritys-management-of-vacant-apartments/</w:t>
        </w:r>
      </w:hyperlink>
      <w:r w:rsidRPr="006B0BF1">
        <w:rPr>
          <w:rFonts w:cs="Times New Roman"/>
          <w:sz w:val="20"/>
          <w:szCs w:val="20"/>
        </w:rPr>
        <w:t>.</w:t>
      </w:r>
    </w:p>
  </w:footnote>
  <w:footnote w:id="41">
    <w:p w14:paraId="4A864BEC" w14:textId="5EB0C5C8" w:rsidR="081377DC" w:rsidRPr="006B0BF1" w:rsidRDefault="081377DC" w:rsidP="006B0BF1">
      <w:pPr>
        <w:pStyle w:val="FootnoteText"/>
        <w:rPr>
          <w:rFonts w:cs="Times New Roman"/>
          <w:i/>
          <w:iCs/>
        </w:rPr>
      </w:pPr>
      <w:r w:rsidRPr="006B0BF1">
        <w:rPr>
          <w:rStyle w:val="FootnoteReference"/>
          <w:rFonts w:cs="Times New Roman"/>
        </w:rPr>
        <w:footnoteRef/>
      </w:r>
      <w:r w:rsidRPr="006B0BF1">
        <w:rPr>
          <w:rFonts w:cs="Times New Roman"/>
        </w:rPr>
        <w:t xml:space="preserve"> </w:t>
      </w:r>
      <w:r w:rsidRPr="006B0BF1">
        <w:rPr>
          <w:rFonts w:cs="Times New Roman"/>
          <w:i/>
          <w:iCs/>
        </w:rPr>
        <w:t>Id.</w:t>
      </w:r>
    </w:p>
  </w:footnote>
  <w:footnote w:id="42">
    <w:p w14:paraId="6F759C68" w14:textId="0F07C160" w:rsidR="081377DC" w:rsidRPr="006B0BF1" w:rsidRDefault="081377DC" w:rsidP="006B0BF1">
      <w:pPr>
        <w:pStyle w:val="FootnoteText"/>
        <w:rPr>
          <w:rFonts w:cs="Times New Roman"/>
        </w:rPr>
      </w:pPr>
      <w:r w:rsidRPr="006B0BF1">
        <w:rPr>
          <w:rStyle w:val="FootnoteReference"/>
          <w:rFonts w:cs="Times New Roman"/>
        </w:rPr>
        <w:footnoteRef/>
      </w:r>
      <w:r w:rsidRPr="006B0BF1">
        <w:rPr>
          <w:rFonts w:cs="Times New Roman"/>
        </w:rPr>
        <w:t xml:space="preserve"> “Borough Monitoring – Quarterly Report” (Feb. 2024), </w:t>
      </w:r>
      <w:r w:rsidRPr="006B0BF1">
        <w:rPr>
          <w:rFonts w:cs="Times New Roman"/>
          <w:i/>
          <w:iCs/>
        </w:rPr>
        <w:t>available at</w:t>
      </w:r>
      <w:r w:rsidRPr="006B0BF1">
        <w:rPr>
          <w:rFonts w:cs="Times New Roman"/>
        </w:rPr>
        <w:t xml:space="preserve"> </w:t>
      </w:r>
      <w:hyperlink r:id="rId29">
        <w:r w:rsidRPr="006B0BF1">
          <w:rPr>
            <w:rStyle w:val="Hyperlink"/>
            <w:rFonts w:cs="Times New Roman"/>
          </w:rPr>
          <w:t>https://img1.wsimg.com/blobby/go/1191cd59-cd0d-4d02-a60c-098cfcfb7ca1/downloads/Borough%20Monitoring%20-%20Quarterly%20Report%20-%20Off%20of.pdf?ver=1733950517446</w:t>
        </w:r>
      </w:hyperlink>
      <w:r w:rsidRPr="006B0BF1">
        <w:rPr>
          <w:rFonts w:cs="Times New Roman"/>
        </w:rPr>
        <w:t xml:space="preserve">; Greg B. Smith, “NYCHA Has 5,000 Empty Apartments After Bureaucratic Bungle, Monitor Finds” (Feb. 2024), The City, </w:t>
      </w:r>
      <w:r w:rsidRPr="006B0BF1">
        <w:rPr>
          <w:rFonts w:cs="Times New Roman"/>
          <w:i/>
          <w:iCs/>
        </w:rPr>
        <w:t xml:space="preserve">available at </w:t>
      </w:r>
      <w:hyperlink r:id="rId30">
        <w:r w:rsidRPr="006B0BF1">
          <w:rPr>
            <w:rStyle w:val="Hyperlink"/>
            <w:rFonts w:cs="Times New Roman"/>
          </w:rPr>
          <w:t>https://www.thecity.nyc/2024/02/21/nycha-5000-empty-apartments/</w:t>
        </w:r>
      </w:hyperlink>
      <w:r w:rsidR="00DA6D0B">
        <w:rPr>
          <w:rFonts w:cs="Times New Roman"/>
        </w:rPr>
        <w:t xml:space="preserve">. </w:t>
      </w:r>
      <w:r w:rsidRPr="006B0BF1">
        <w:rPr>
          <w:rFonts w:cs="Times New Roman"/>
        </w:rPr>
        <w:t>The OACM was renamed Technical Services in 2023.</w:t>
      </w:r>
    </w:p>
  </w:footnote>
  <w:footnote w:id="43">
    <w:p w14:paraId="43714E15" w14:textId="77777777" w:rsidR="081377DC" w:rsidRPr="006B0BF1" w:rsidRDefault="081377DC" w:rsidP="006B0BF1">
      <w:pPr>
        <w:pStyle w:val="FootnoteText"/>
        <w:rPr>
          <w:rFonts w:cs="Times New Roman"/>
        </w:rPr>
      </w:pPr>
      <w:r w:rsidRPr="006B0BF1">
        <w:rPr>
          <w:rStyle w:val="FootnoteReference"/>
          <w:rFonts w:cs="Times New Roman"/>
        </w:rPr>
        <w:footnoteRef/>
      </w:r>
      <w:r w:rsidRPr="006B0BF1">
        <w:rPr>
          <w:rFonts w:cs="Times New Roman"/>
        </w:rPr>
        <w:t xml:space="preserve"> </w:t>
      </w:r>
      <w:r w:rsidRPr="006B0BF1">
        <w:rPr>
          <w:rFonts w:cs="Times New Roman"/>
          <w:i/>
          <w:iCs/>
        </w:rPr>
        <w:t>Id</w:t>
      </w:r>
      <w:r w:rsidRPr="006B0BF1">
        <w:rPr>
          <w:rFonts w:cs="Times New Roman"/>
        </w:rPr>
        <w:t>.</w:t>
      </w:r>
    </w:p>
  </w:footnote>
  <w:footnote w:id="44">
    <w:p w14:paraId="4BED28A7" w14:textId="46706E9A" w:rsidR="081377DC" w:rsidRPr="006B0BF1" w:rsidRDefault="081377DC"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00BE1567">
        <w:rPr>
          <w:rFonts w:cs="Times New Roman"/>
          <w:sz w:val="20"/>
          <w:szCs w:val="20"/>
        </w:rPr>
        <w:t xml:space="preserve">DOI Report, </w:t>
      </w:r>
      <w:r w:rsidR="00BE1567">
        <w:rPr>
          <w:rFonts w:cs="Times New Roman"/>
          <w:i/>
          <w:iCs/>
          <w:sz w:val="20"/>
          <w:szCs w:val="20"/>
        </w:rPr>
        <w:t xml:space="preserve">supra </w:t>
      </w:r>
      <w:r w:rsidR="00BE1567">
        <w:rPr>
          <w:rFonts w:cs="Times New Roman"/>
          <w:sz w:val="20"/>
          <w:szCs w:val="20"/>
        </w:rPr>
        <w:t>note 2</w:t>
      </w:r>
      <w:r w:rsidR="000900B3">
        <w:rPr>
          <w:rFonts w:cs="Times New Roman"/>
          <w:sz w:val="20"/>
          <w:szCs w:val="20"/>
        </w:rPr>
        <w:t>9,</w:t>
      </w:r>
      <w:r w:rsidR="00BE1567">
        <w:rPr>
          <w:rFonts w:cs="Times New Roman"/>
          <w:sz w:val="20"/>
          <w:szCs w:val="20"/>
        </w:rPr>
        <w:t xml:space="preserve"> </w:t>
      </w:r>
      <w:r w:rsidRPr="006B0BF1">
        <w:rPr>
          <w:rFonts w:cs="Times New Roman"/>
          <w:sz w:val="20"/>
          <w:szCs w:val="20"/>
        </w:rPr>
        <w:t>at 5.</w:t>
      </w:r>
    </w:p>
  </w:footnote>
  <w:footnote w:id="45">
    <w:p w14:paraId="09F66BBE" w14:textId="21E799C3"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46">
    <w:p w14:paraId="782F798C" w14:textId="1F157372"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47">
    <w:p w14:paraId="20CA1EF9" w14:textId="523AC549" w:rsidR="081377DC" w:rsidRPr="004F73DE" w:rsidRDefault="081377DC"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004F73DE">
        <w:rPr>
          <w:rFonts w:cs="Times New Roman"/>
          <w:i/>
          <w:iCs/>
          <w:sz w:val="20"/>
          <w:szCs w:val="20"/>
        </w:rPr>
        <w:t xml:space="preserve">Id. </w:t>
      </w:r>
      <w:r w:rsidR="004F73DE">
        <w:rPr>
          <w:rFonts w:cs="Times New Roman"/>
          <w:sz w:val="20"/>
          <w:szCs w:val="20"/>
        </w:rPr>
        <w:t>at 9.</w:t>
      </w:r>
    </w:p>
  </w:footnote>
  <w:footnote w:id="48">
    <w:p w14:paraId="1C939807" w14:textId="680BD8B5" w:rsidR="081377DC" w:rsidRPr="006B0BF1" w:rsidRDefault="081377DC"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 xml:space="preserve">Id. </w:t>
      </w:r>
      <w:r w:rsidR="004F73DE">
        <w:rPr>
          <w:rFonts w:cs="Times New Roman"/>
          <w:sz w:val="20"/>
          <w:szCs w:val="20"/>
        </w:rPr>
        <w:t>a</w:t>
      </w:r>
      <w:r w:rsidRPr="006B0BF1">
        <w:rPr>
          <w:rFonts w:cs="Times New Roman"/>
          <w:sz w:val="20"/>
          <w:szCs w:val="20"/>
        </w:rPr>
        <w:t>t 5.</w:t>
      </w:r>
    </w:p>
  </w:footnote>
  <w:footnote w:id="49">
    <w:p w14:paraId="79B3E73C" w14:textId="624FF10B" w:rsidR="081377DC" w:rsidRPr="006B0BF1" w:rsidRDefault="081377DC"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New York City Council, Transcript of the Minutes of the Committee on Public Housing (Jun. 16, 2025)</w:t>
      </w:r>
      <w:r w:rsidR="000C76FE">
        <w:rPr>
          <w:rFonts w:cs="Times New Roman"/>
          <w:sz w:val="20"/>
          <w:szCs w:val="20"/>
        </w:rPr>
        <w:t xml:space="preserve">, </w:t>
      </w:r>
      <w:r w:rsidR="000C76FE">
        <w:rPr>
          <w:rFonts w:cs="Times New Roman"/>
          <w:i/>
          <w:iCs/>
          <w:sz w:val="20"/>
          <w:szCs w:val="20"/>
        </w:rPr>
        <w:t xml:space="preserve">available at </w:t>
      </w:r>
      <w:hyperlink r:id="rId31" w:history="1">
        <w:r w:rsidR="000C76FE" w:rsidRPr="000C76FE">
          <w:rPr>
            <w:rStyle w:val="Hyperlink"/>
            <w:rFonts w:cs="Times New Roman"/>
            <w:sz w:val="20"/>
            <w:szCs w:val="20"/>
          </w:rPr>
          <w:t>https://legistar.council.nyc.gov/MeetingDetail.aspx?ID=1313799&amp;GUID=6679618F-2971-48C8-B9FF-A3CC69EC72F4&amp;Options=info|&amp;Search=</w:t>
        </w:r>
      </w:hyperlink>
      <w:r w:rsidR="000C76FE">
        <w:rPr>
          <w:rFonts w:cs="Times New Roman"/>
          <w:sz w:val="20"/>
          <w:szCs w:val="20"/>
        </w:rPr>
        <w:t xml:space="preserve"> </w:t>
      </w:r>
      <w:r w:rsidRPr="006B0BF1">
        <w:rPr>
          <w:rFonts w:cs="Times New Roman"/>
          <w:sz w:val="20"/>
          <w:szCs w:val="20"/>
        </w:rPr>
        <w:t>at 37.</w:t>
      </w:r>
    </w:p>
  </w:footnote>
  <w:footnote w:id="50">
    <w:p w14:paraId="66868860" w14:textId="2ABA09D8"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51">
    <w:p w14:paraId="610C5F52" w14:textId="001E7D7D" w:rsidR="081377DC" w:rsidRPr="006B0BF1" w:rsidRDefault="081377DC"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 xml:space="preserve">Id. </w:t>
      </w:r>
      <w:r w:rsidR="004F73DE">
        <w:rPr>
          <w:rFonts w:cs="Times New Roman"/>
          <w:sz w:val="20"/>
          <w:szCs w:val="20"/>
        </w:rPr>
        <w:t>a</w:t>
      </w:r>
      <w:r w:rsidRPr="006B0BF1">
        <w:rPr>
          <w:rFonts w:cs="Times New Roman"/>
          <w:sz w:val="20"/>
          <w:szCs w:val="20"/>
        </w:rPr>
        <w:t>t 81-2.</w:t>
      </w:r>
    </w:p>
  </w:footnote>
  <w:footnote w:id="52">
    <w:p w14:paraId="70B5275B" w14:textId="1C2775F6" w:rsidR="081377DC" w:rsidRPr="006B0BF1" w:rsidRDefault="081377DC"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 xml:space="preserve">Id. </w:t>
      </w:r>
      <w:r w:rsidR="004F73DE">
        <w:rPr>
          <w:rFonts w:cs="Times New Roman"/>
          <w:sz w:val="20"/>
          <w:szCs w:val="20"/>
        </w:rPr>
        <w:t>a</w:t>
      </w:r>
      <w:r w:rsidRPr="006B0BF1">
        <w:rPr>
          <w:rFonts w:cs="Times New Roman"/>
          <w:sz w:val="20"/>
          <w:szCs w:val="20"/>
        </w:rPr>
        <w:t>t 82.</w:t>
      </w:r>
    </w:p>
  </w:footnote>
  <w:footnote w:id="53">
    <w:p w14:paraId="7461D141" w14:textId="20600157" w:rsidR="081377DC" w:rsidRPr="006B0BF1" w:rsidRDefault="081377DC"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00BE1567">
        <w:rPr>
          <w:rFonts w:cs="Times New Roman"/>
          <w:sz w:val="20"/>
          <w:szCs w:val="20"/>
        </w:rPr>
        <w:t xml:space="preserve">DOI Report, </w:t>
      </w:r>
      <w:r w:rsidR="00BE1567">
        <w:rPr>
          <w:rFonts w:cs="Times New Roman"/>
          <w:i/>
          <w:iCs/>
          <w:sz w:val="20"/>
          <w:szCs w:val="20"/>
        </w:rPr>
        <w:t xml:space="preserve">supra </w:t>
      </w:r>
      <w:r w:rsidR="00BE1567">
        <w:rPr>
          <w:rFonts w:cs="Times New Roman"/>
          <w:sz w:val="20"/>
          <w:szCs w:val="20"/>
        </w:rPr>
        <w:t>note 2</w:t>
      </w:r>
      <w:r w:rsidR="000900B3">
        <w:rPr>
          <w:rFonts w:cs="Times New Roman"/>
          <w:sz w:val="20"/>
          <w:szCs w:val="20"/>
        </w:rPr>
        <w:t>9</w:t>
      </w:r>
      <w:r w:rsidR="00BE1567">
        <w:rPr>
          <w:rFonts w:cs="Times New Roman"/>
          <w:sz w:val="20"/>
          <w:szCs w:val="20"/>
        </w:rPr>
        <w:t xml:space="preserve">, </w:t>
      </w:r>
      <w:r w:rsidRPr="006B0BF1">
        <w:rPr>
          <w:rFonts w:cs="Times New Roman"/>
          <w:sz w:val="20"/>
          <w:szCs w:val="20"/>
        </w:rPr>
        <w:t>at 9-10.</w:t>
      </w:r>
    </w:p>
  </w:footnote>
  <w:footnote w:id="54">
    <w:p w14:paraId="0C4730C1" w14:textId="090E4BEB" w:rsidR="081377DC" w:rsidRPr="006B0BF1" w:rsidRDefault="081377DC"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004F73DE">
        <w:rPr>
          <w:rFonts w:cs="Times New Roman"/>
          <w:i/>
          <w:iCs/>
          <w:sz w:val="20"/>
          <w:szCs w:val="20"/>
        </w:rPr>
        <w:t>Id.</w:t>
      </w:r>
      <w:r w:rsidRPr="006B0BF1">
        <w:rPr>
          <w:rFonts w:cs="Times New Roman"/>
          <w:sz w:val="20"/>
          <w:szCs w:val="20"/>
        </w:rPr>
        <w:t xml:space="preserve"> at 5.</w:t>
      </w:r>
    </w:p>
  </w:footnote>
  <w:footnote w:id="55">
    <w:p w14:paraId="2B14989B" w14:textId="3AE7DBB4"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56">
    <w:p w14:paraId="708BA6FC" w14:textId="6C83F9A8"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57">
    <w:p w14:paraId="0CC34B13" w14:textId="39561F92" w:rsidR="081377DC" w:rsidRPr="006B0BF1" w:rsidRDefault="081377DC"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 xml:space="preserve">Id. </w:t>
      </w:r>
      <w:r w:rsidR="004F73DE">
        <w:rPr>
          <w:rFonts w:cs="Times New Roman"/>
          <w:sz w:val="20"/>
          <w:szCs w:val="20"/>
        </w:rPr>
        <w:t>a</w:t>
      </w:r>
      <w:r w:rsidRPr="006B0BF1">
        <w:rPr>
          <w:rFonts w:cs="Times New Roman"/>
          <w:sz w:val="20"/>
          <w:szCs w:val="20"/>
        </w:rPr>
        <w:t>t 7.</w:t>
      </w:r>
    </w:p>
  </w:footnote>
  <w:footnote w:id="58">
    <w:p w14:paraId="2AB729D0" w14:textId="2DCE5996"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59">
    <w:p w14:paraId="0D3A2459" w14:textId="196D0598"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60">
    <w:p w14:paraId="69EC8695" w14:textId="57AD40A3" w:rsidR="081377DC" w:rsidRPr="006B0BF1" w:rsidRDefault="081377DC"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 xml:space="preserve">Id. </w:t>
      </w:r>
      <w:r w:rsidR="004F73DE">
        <w:rPr>
          <w:rFonts w:cs="Times New Roman"/>
          <w:sz w:val="20"/>
          <w:szCs w:val="20"/>
        </w:rPr>
        <w:t>a</w:t>
      </w:r>
      <w:r w:rsidRPr="006B0BF1">
        <w:rPr>
          <w:rFonts w:cs="Times New Roman"/>
          <w:sz w:val="20"/>
          <w:szCs w:val="20"/>
        </w:rPr>
        <w:t>t 6.</w:t>
      </w:r>
    </w:p>
  </w:footnote>
  <w:footnote w:id="61">
    <w:p w14:paraId="3743CB95" w14:textId="7381E0A8"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62">
    <w:p w14:paraId="5791DB35" w14:textId="19DF06AD"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63">
    <w:p w14:paraId="5463B4B7" w14:textId="06D4F0D3"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64">
    <w:p w14:paraId="5CF6B6B3" w14:textId="38DF0216"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65">
    <w:p w14:paraId="106F4EB4" w14:textId="54623395"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66">
    <w:p w14:paraId="023FE651" w14:textId="5C487FC0"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67">
    <w:p w14:paraId="0892D40A" w14:textId="3B655234"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68">
    <w:p w14:paraId="2F71D43F" w14:textId="0FC212C7"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69">
    <w:p w14:paraId="3359D2A5" w14:textId="4A36F021" w:rsidR="081377DC" w:rsidRPr="006B0BF1" w:rsidRDefault="081377DC" w:rsidP="006B0BF1">
      <w:pPr>
        <w:spacing w:after="0" w:line="240" w:lineRule="auto"/>
        <w:rPr>
          <w:rFonts w:cs="Times New Roman"/>
          <w:i/>
          <w:iCs/>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Id.</w:t>
      </w:r>
    </w:p>
  </w:footnote>
  <w:footnote w:id="70">
    <w:p w14:paraId="1662DC3B" w14:textId="657D4185" w:rsidR="081377DC" w:rsidRPr="006B0BF1" w:rsidRDefault="081377DC"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Pr="006B0BF1">
        <w:rPr>
          <w:rFonts w:cs="Times New Roman"/>
          <w:i/>
          <w:iCs/>
          <w:sz w:val="20"/>
          <w:szCs w:val="20"/>
        </w:rPr>
        <w:t xml:space="preserve">Id. </w:t>
      </w:r>
      <w:r w:rsidR="0029083D">
        <w:rPr>
          <w:rFonts w:cs="Times New Roman"/>
          <w:sz w:val="20"/>
          <w:szCs w:val="20"/>
        </w:rPr>
        <w:t>a</w:t>
      </w:r>
      <w:r w:rsidRPr="006B0BF1">
        <w:rPr>
          <w:rFonts w:cs="Times New Roman"/>
          <w:sz w:val="20"/>
          <w:szCs w:val="20"/>
        </w:rPr>
        <w:t>t 6-7.</w:t>
      </w:r>
    </w:p>
  </w:footnote>
  <w:footnote w:id="71">
    <w:p w14:paraId="478D66F0" w14:textId="6CEEBE5B" w:rsidR="0018172C" w:rsidRDefault="0018172C">
      <w:pPr>
        <w:pStyle w:val="FootnoteText"/>
      </w:pPr>
      <w:r>
        <w:rPr>
          <w:rStyle w:val="FootnoteReference"/>
        </w:rPr>
        <w:footnoteRef/>
      </w:r>
      <w:r>
        <w:t xml:space="preserve"> </w:t>
      </w:r>
      <w:r>
        <w:rPr>
          <w:i/>
          <w:iCs/>
        </w:rPr>
        <w:t>Id</w:t>
      </w:r>
    </w:p>
  </w:footnote>
  <w:footnote w:id="72">
    <w:p w14:paraId="373D4FDF" w14:textId="48E0749F" w:rsidR="007A5207" w:rsidRPr="007A5207" w:rsidRDefault="007A5207">
      <w:pPr>
        <w:pStyle w:val="FootnoteText"/>
        <w:rPr>
          <w:i/>
          <w:iCs/>
        </w:rPr>
      </w:pPr>
      <w:r>
        <w:rPr>
          <w:rStyle w:val="FootnoteReference"/>
        </w:rPr>
        <w:footnoteRef/>
      </w:r>
      <w:r>
        <w:t xml:space="preserve"> </w:t>
      </w:r>
      <w:r>
        <w:rPr>
          <w:i/>
          <w:iCs/>
        </w:rPr>
        <w:t>Id.</w:t>
      </w:r>
    </w:p>
  </w:footnote>
  <w:footnote w:id="73">
    <w:p w14:paraId="5165709E" w14:textId="1E202A6B" w:rsidR="41A2087F" w:rsidRPr="006B0BF1" w:rsidRDefault="41A2087F" w:rsidP="006B0BF1">
      <w:pPr>
        <w:spacing w:after="0" w:line="240" w:lineRule="auto"/>
        <w:rPr>
          <w:rFonts w:cs="Times New Roman"/>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29083D">
        <w:rPr>
          <w:rFonts w:cs="Times New Roman"/>
          <w:i/>
          <w:iCs/>
          <w:sz w:val="20"/>
          <w:szCs w:val="20"/>
        </w:rPr>
        <w:t>Id.</w:t>
      </w:r>
    </w:p>
  </w:footnote>
  <w:footnote w:id="74">
    <w:p w14:paraId="44695005" w14:textId="37E7EB38" w:rsidR="007A5207" w:rsidRPr="007A5207" w:rsidRDefault="007A5207">
      <w:pPr>
        <w:pStyle w:val="FootnoteText"/>
        <w:rPr>
          <w:i/>
          <w:iCs/>
        </w:rPr>
      </w:pPr>
      <w:r>
        <w:rPr>
          <w:rStyle w:val="FootnoteReference"/>
        </w:rPr>
        <w:footnoteRef/>
      </w:r>
      <w:r>
        <w:t xml:space="preserve"> </w:t>
      </w:r>
      <w:r>
        <w:rPr>
          <w:i/>
          <w:iCs/>
        </w:rPr>
        <w:t>Id.</w:t>
      </w:r>
    </w:p>
  </w:footnote>
  <w:footnote w:id="75">
    <w:p w14:paraId="4473B899" w14:textId="18F31590" w:rsidR="000C58DA" w:rsidRPr="000C58DA" w:rsidRDefault="000C58DA">
      <w:pPr>
        <w:pStyle w:val="FootnoteText"/>
      </w:pPr>
      <w:r>
        <w:rPr>
          <w:rStyle w:val="FootnoteReference"/>
        </w:rPr>
        <w:footnoteRef/>
      </w:r>
      <w:r>
        <w:t xml:space="preserve"> </w:t>
      </w:r>
      <w:r>
        <w:rPr>
          <w:i/>
          <w:iCs/>
        </w:rPr>
        <w:t>Id.</w:t>
      </w:r>
      <w:r>
        <w:t xml:space="preserve"> at 12.</w:t>
      </w:r>
    </w:p>
  </w:footnote>
  <w:footnote w:id="76">
    <w:p w14:paraId="1574CDFE" w14:textId="70C32089" w:rsidR="000C58DA" w:rsidRPr="000C58DA" w:rsidRDefault="000C58DA">
      <w:pPr>
        <w:pStyle w:val="FootnoteText"/>
      </w:pPr>
      <w:r>
        <w:rPr>
          <w:rStyle w:val="FootnoteReference"/>
        </w:rPr>
        <w:footnoteRef/>
      </w:r>
      <w:r>
        <w:t xml:space="preserve"> </w:t>
      </w:r>
      <w:r>
        <w:rPr>
          <w:i/>
          <w:iCs/>
        </w:rPr>
        <w:t>Id.</w:t>
      </w:r>
      <w:r>
        <w:t xml:space="preserve"> at 12-</w:t>
      </w:r>
      <w:r w:rsidR="00EE5948">
        <w:t>1</w:t>
      </w:r>
      <w:r>
        <w:t>3.</w:t>
      </w:r>
    </w:p>
  </w:footnote>
  <w:footnote w:id="77">
    <w:p w14:paraId="5991C5F0" w14:textId="4FC52527" w:rsidR="009501DA" w:rsidRPr="009C6D33" w:rsidRDefault="009501DA">
      <w:pPr>
        <w:pStyle w:val="FootnoteText"/>
      </w:pPr>
      <w:r>
        <w:rPr>
          <w:rStyle w:val="FootnoteReference"/>
        </w:rPr>
        <w:footnoteRef/>
      </w:r>
      <w:r>
        <w:t xml:space="preserve"> </w:t>
      </w:r>
      <w:r>
        <w:rPr>
          <w:i/>
          <w:iCs/>
        </w:rPr>
        <w:t>Id.</w:t>
      </w:r>
      <w:r w:rsidR="000C58DA">
        <w:rPr>
          <w:i/>
          <w:iCs/>
        </w:rPr>
        <w:t xml:space="preserve"> </w:t>
      </w:r>
      <w:r w:rsidR="000C58DA">
        <w:t>at 13.</w:t>
      </w:r>
    </w:p>
  </w:footnote>
  <w:footnote w:id="78">
    <w:p w14:paraId="522109B9" w14:textId="41EBD12C" w:rsidR="41A2087F" w:rsidRPr="00EE5948" w:rsidRDefault="41A2087F" w:rsidP="006B0BF1">
      <w:pPr>
        <w:spacing w:after="0" w:line="240" w:lineRule="auto"/>
        <w:rPr>
          <w:rFonts w:cs="Times New Roman"/>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226208">
        <w:rPr>
          <w:rFonts w:cs="Times New Roman"/>
          <w:i/>
          <w:iCs/>
          <w:sz w:val="20"/>
          <w:szCs w:val="20"/>
        </w:rPr>
        <w:t>Id.</w:t>
      </w:r>
      <w:r w:rsidR="00EE5948">
        <w:rPr>
          <w:rFonts w:cs="Times New Roman"/>
          <w:sz w:val="20"/>
          <w:szCs w:val="20"/>
        </w:rPr>
        <w:t xml:space="preserve"> at 14-15.</w:t>
      </w:r>
    </w:p>
  </w:footnote>
  <w:footnote w:id="79">
    <w:p w14:paraId="622E8B36" w14:textId="51C402F0" w:rsidR="009501DA" w:rsidRPr="009C6D33" w:rsidRDefault="009501DA">
      <w:pPr>
        <w:pStyle w:val="FootnoteText"/>
      </w:pPr>
      <w:r>
        <w:rPr>
          <w:rStyle w:val="FootnoteReference"/>
        </w:rPr>
        <w:footnoteRef/>
      </w:r>
      <w:r>
        <w:t xml:space="preserve"> </w:t>
      </w:r>
      <w:r>
        <w:rPr>
          <w:i/>
          <w:iCs/>
        </w:rPr>
        <w:t>Id.</w:t>
      </w:r>
      <w:r w:rsidR="00EE5948">
        <w:t xml:space="preserve"> at 15-16.</w:t>
      </w:r>
    </w:p>
  </w:footnote>
  <w:footnote w:id="80">
    <w:p w14:paraId="325C4320" w14:textId="53080D1B" w:rsidR="41A2087F" w:rsidRPr="006B0BF1" w:rsidRDefault="41A2087F" w:rsidP="006B0BF1">
      <w:pPr>
        <w:spacing w:after="0" w:line="240" w:lineRule="auto"/>
        <w:rPr>
          <w:rFonts w:cs="Times New Roman"/>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9501DA">
        <w:rPr>
          <w:rFonts w:cs="Times New Roman"/>
          <w:i/>
          <w:iCs/>
          <w:sz w:val="20"/>
          <w:szCs w:val="20"/>
        </w:rPr>
        <w:t>Id.</w:t>
      </w:r>
      <w:r w:rsidR="00EE5948">
        <w:rPr>
          <w:rFonts w:cs="Times New Roman"/>
          <w:i/>
          <w:iCs/>
          <w:sz w:val="20"/>
          <w:szCs w:val="20"/>
        </w:rPr>
        <w:t xml:space="preserve"> </w:t>
      </w:r>
      <w:r w:rsidR="00EE5948">
        <w:rPr>
          <w:rFonts w:cs="Times New Roman"/>
          <w:sz w:val="20"/>
          <w:szCs w:val="20"/>
        </w:rPr>
        <w:t>at</w:t>
      </w:r>
      <w:r w:rsidR="00EE5948">
        <w:rPr>
          <w:rFonts w:cs="Times New Roman"/>
          <w:i/>
          <w:iCs/>
          <w:sz w:val="20"/>
          <w:szCs w:val="20"/>
        </w:rPr>
        <w:t xml:space="preserve"> </w:t>
      </w:r>
      <w:r w:rsidR="00EE5948">
        <w:rPr>
          <w:rFonts w:cs="Times New Roman"/>
          <w:sz w:val="20"/>
          <w:szCs w:val="20"/>
        </w:rPr>
        <w:t>16-17.</w:t>
      </w:r>
    </w:p>
  </w:footnote>
  <w:footnote w:id="81">
    <w:p w14:paraId="46A91933" w14:textId="737C3F33" w:rsidR="41A2087F" w:rsidRPr="009C6D33" w:rsidRDefault="41A2087F" w:rsidP="006B0BF1">
      <w:pPr>
        <w:spacing w:after="0" w:line="240" w:lineRule="auto"/>
        <w:rPr>
          <w:rFonts w:cs="Times New Roman"/>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AB0B06">
        <w:rPr>
          <w:rFonts w:cs="Times New Roman"/>
          <w:i/>
          <w:iCs/>
          <w:sz w:val="20"/>
          <w:szCs w:val="20"/>
        </w:rPr>
        <w:t>Id.</w:t>
      </w:r>
      <w:r w:rsidR="00B82C15">
        <w:rPr>
          <w:rFonts w:cs="Times New Roman"/>
          <w:sz w:val="20"/>
          <w:szCs w:val="20"/>
        </w:rPr>
        <w:t xml:space="preserve"> at 17.</w:t>
      </w:r>
    </w:p>
  </w:footnote>
  <w:footnote w:id="82">
    <w:p w14:paraId="5A5DB280" w14:textId="20DC623E" w:rsidR="41A2087F" w:rsidRPr="006B0BF1" w:rsidRDefault="41A2087F" w:rsidP="006B0BF1">
      <w:pPr>
        <w:spacing w:after="0" w:line="240" w:lineRule="auto"/>
        <w:rPr>
          <w:rFonts w:cs="Times New Roman"/>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AB0B06">
        <w:rPr>
          <w:rFonts w:cs="Times New Roman"/>
          <w:i/>
          <w:iCs/>
          <w:sz w:val="20"/>
          <w:szCs w:val="20"/>
        </w:rPr>
        <w:t>Id.</w:t>
      </w:r>
    </w:p>
  </w:footnote>
  <w:footnote w:id="83">
    <w:p w14:paraId="03B367EE" w14:textId="5B945549" w:rsidR="41A2087F" w:rsidRPr="00C61D8E" w:rsidRDefault="41A2087F" w:rsidP="006B0BF1">
      <w:pPr>
        <w:spacing w:after="0" w:line="240" w:lineRule="auto"/>
        <w:rPr>
          <w:rFonts w:cs="Times New Roman"/>
          <w:sz w:val="20"/>
          <w:szCs w:val="20"/>
        </w:rPr>
      </w:pPr>
      <w:r w:rsidRPr="006B0BF1">
        <w:rPr>
          <w:rStyle w:val="FootnoteReference"/>
          <w:rFonts w:cs="Times New Roman"/>
          <w:sz w:val="20"/>
          <w:szCs w:val="20"/>
        </w:rPr>
        <w:footnoteRef/>
      </w:r>
      <w:r w:rsidRPr="006B0BF1">
        <w:rPr>
          <w:rFonts w:cs="Times New Roman"/>
          <w:sz w:val="20"/>
          <w:szCs w:val="20"/>
        </w:rPr>
        <w:t xml:space="preserve"> </w:t>
      </w:r>
      <w:r w:rsidR="00AB0B06">
        <w:rPr>
          <w:rFonts w:cs="Times New Roman"/>
          <w:i/>
          <w:iCs/>
          <w:sz w:val="20"/>
          <w:szCs w:val="20"/>
        </w:rPr>
        <w:t>Id.</w:t>
      </w:r>
      <w:r w:rsidR="00C61D8E">
        <w:rPr>
          <w:rFonts w:cs="Times New Roman"/>
          <w:i/>
          <w:iCs/>
          <w:sz w:val="20"/>
          <w:szCs w:val="20"/>
        </w:rPr>
        <w:t xml:space="preserve"> </w:t>
      </w:r>
      <w:r w:rsidR="00C61D8E">
        <w:rPr>
          <w:rFonts w:cs="Times New Roman"/>
          <w:sz w:val="20"/>
          <w:szCs w:val="20"/>
        </w:rPr>
        <w:t>at 17-18.</w:t>
      </w:r>
    </w:p>
  </w:footnote>
  <w:footnote w:id="84">
    <w:p w14:paraId="1254FEA9" w14:textId="139D561C" w:rsidR="41A2087F" w:rsidRPr="009C6D33" w:rsidRDefault="41A2087F" w:rsidP="006B0BF1">
      <w:pPr>
        <w:spacing w:after="0" w:line="240" w:lineRule="auto"/>
        <w:rPr>
          <w:rFonts w:cs="Times New Roman"/>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AB0B06">
        <w:rPr>
          <w:rFonts w:cs="Times New Roman"/>
          <w:i/>
          <w:iCs/>
          <w:sz w:val="20"/>
          <w:szCs w:val="20"/>
        </w:rPr>
        <w:t>Id.</w:t>
      </w:r>
    </w:p>
  </w:footnote>
  <w:footnote w:id="85">
    <w:p w14:paraId="441F17A7" w14:textId="7D91756A" w:rsidR="41A2087F" w:rsidRPr="00187800" w:rsidRDefault="41A2087F" w:rsidP="006B0BF1">
      <w:pPr>
        <w:spacing w:after="0" w:line="240" w:lineRule="auto"/>
        <w:rPr>
          <w:rFonts w:cs="Times New Roman"/>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AB0B06">
        <w:rPr>
          <w:rFonts w:cs="Times New Roman"/>
          <w:i/>
          <w:iCs/>
          <w:sz w:val="20"/>
          <w:szCs w:val="20"/>
        </w:rPr>
        <w:t>Id.</w:t>
      </w:r>
      <w:r w:rsidR="00187800">
        <w:rPr>
          <w:rFonts w:cs="Times New Roman"/>
          <w:sz w:val="20"/>
          <w:szCs w:val="20"/>
        </w:rPr>
        <w:t xml:space="preserve"> at 18.</w:t>
      </w:r>
    </w:p>
  </w:footnote>
  <w:footnote w:id="86">
    <w:p w14:paraId="36D8F8E6" w14:textId="3DB04E0C" w:rsidR="41A2087F" w:rsidRPr="006B0BF1" w:rsidRDefault="41A2087F" w:rsidP="006B0BF1">
      <w:pPr>
        <w:spacing w:after="0" w:line="240" w:lineRule="auto"/>
        <w:rPr>
          <w:rFonts w:cs="Times New Roman"/>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AB0B06">
        <w:rPr>
          <w:rFonts w:cs="Times New Roman"/>
          <w:i/>
          <w:iCs/>
          <w:sz w:val="20"/>
          <w:szCs w:val="20"/>
        </w:rPr>
        <w:t>Id.</w:t>
      </w:r>
    </w:p>
  </w:footnote>
  <w:footnote w:id="87">
    <w:p w14:paraId="28E71DA3" w14:textId="66110D94" w:rsidR="41A2087F" w:rsidRPr="006B0BF1" w:rsidRDefault="41A2087F" w:rsidP="006B0BF1">
      <w:pPr>
        <w:spacing w:after="0" w:line="240" w:lineRule="auto"/>
        <w:rPr>
          <w:rFonts w:cs="Times New Roman"/>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AB0B06">
        <w:rPr>
          <w:rFonts w:cs="Times New Roman"/>
          <w:i/>
          <w:iCs/>
          <w:sz w:val="20"/>
          <w:szCs w:val="20"/>
        </w:rPr>
        <w:t>Id.</w:t>
      </w:r>
    </w:p>
  </w:footnote>
  <w:footnote w:id="88">
    <w:p w14:paraId="5BBF7315" w14:textId="68D7849C" w:rsidR="41A2087F" w:rsidRPr="00B14E76" w:rsidRDefault="41A2087F" w:rsidP="006B0BF1">
      <w:pPr>
        <w:spacing w:after="0" w:line="240" w:lineRule="auto"/>
        <w:rPr>
          <w:rFonts w:cs="Times New Roman"/>
          <w:i/>
          <w:iCs/>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B14E76">
        <w:rPr>
          <w:rFonts w:cs="Times New Roman"/>
          <w:i/>
          <w:iCs/>
          <w:sz w:val="20"/>
          <w:szCs w:val="20"/>
        </w:rPr>
        <w:t>Id.</w:t>
      </w:r>
    </w:p>
  </w:footnote>
  <w:footnote w:id="89">
    <w:p w14:paraId="181C91E9" w14:textId="216FD070" w:rsidR="41A2087F" w:rsidRPr="00B14E76" w:rsidRDefault="41A2087F" w:rsidP="006B0BF1">
      <w:pPr>
        <w:spacing w:after="0" w:line="240" w:lineRule="auto"/>
        <w:rPr>
          <w:rFonts w:cs="Times New Roman"/>
          <w:i/>
          <w:iCs/>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B14E76">
        <w:rPr>
          <w:rFonts w:cs="Times New Roman"/>
          <w:i/>
          <w:iCs/>
          <w:sz w:val="20"/>
          <w:szCs w:val="20"/>
        </w:rPr>
        <w:t>Id.</w:t>
      </w:r>
    </w:p>
  </w:footnote>
  <w:footnote w:id="90">
    <w:p w14:paraId="210647C6" w14:textId="1DA25099" w:rsidR="41A2087F" w:rsidRPr="00B14E76" w:rsidRDefault="41A2087F" w:rsidP="006B0BF1">
      <w:pPr>
        <w:spacing w:after="0" w:line="240" w:lineRule="auto"/>
        <w:rPr>
          <w:rFonts w:cs="Times New Roman"/>
          <w:i/>
          <w:iCs/>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B14E76">
        <w:rPr>
          <w:rFonts w:cs="Times New Roman"/>
          <w:i/>
          <w:iCs/>
          <w:sz w:val="20"/>
          <w:szCs w:val="20"/>
        </w:rPr>
        <w:t>Id.</w:t>
      </w:r>
    </w:p>
  </w:footnote>
  <w:footnote w:id="91">
    <w:p w14:paraId="3F825A7F" w14:textId="5B8E2BE1" w:rsidR="41A2087F" w:rsidRPr="006B0BF1" w:rsidRDefault="41A2087F" w:rsidP="006B0BF1">
      <w:pPr>
        <w:spacing w:after="0" w:line="240" w:lineRule="auto"/>
        <w:rPr>
          <w:rFonts w:cs="Times New Roman"/>
          <w:sz w:val="20"/>
          <w:szCs w:val="20"/>
        </w:rPr>
      </w:pPr>
      <w:r w:rsidRPr="006B0BF1">
        <w:rPr>
          <w:rStyle w:val="FootnoteReference"/>
          <w:rFonts w:cs="Times New Roman"/>
          <w:sz w:val="20"/>
          <w:szCs w:val="20"/>
        </w:rPr>
        <w:footnoteRef/>
      </w:r>
      <w:r w:rsidR="2D3AA60E" w:rsidRPr="006B0BF1">
        <w:rPr>
          <w:rFonts w:cs="Times New Roman"/>
          <w:sz w:val="20"/>
          <w:szCs w:val="20"/>
        </w:rPr>
        <w:t xml:space="preserve"> </w:t>
      </w:r>
      <w:r w:rsidR="00B14E76">
        <w:rPr>
          <w:rFonts w:cs="Times New Roman"/>
          <w:i/>
          <w:iCs/>
          <w:sz w:val="20"/>
          <w:szCs w:val="20"/>
        </w:rPr>
        <w:t>Id.</w:t>
      </w:r>
    </w:p>
  </w:footnote>
</w:footnotes>
</file>

<file path=word/intelligence2.xml><?xml version="1.0" encoding="utf-8"?>
<int2:intelligence xmlns:int2="http://schemas.microsoft.com/office/intelligence/2020/intelligence" xmlns:oel="http://schemas.microsoft.com/office/2019/extlst">
  <int2:observations>
    <int2:bookmark int2:bookmarkName="_Int_3AH4PXBz" int2:invalidationBookmarkName="" int2:hashCode="/W7BbPa01jVR5q" int2:id="QKWWHNV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3513"/>
    <w:multiLevelType w:val="hybridMultilevel"/>
    <w:tmpl w:val="36142394"/>
    <w:lvl w:ilvl="0" w:tplc="54E402BE">
      <w:start w:val="1"/>
      <w:numFmt w:val="lowerRoman"/>
      <w:lvlText w:val="%1."/>
      <w:lvlJc w:val="left"/>
      <w:pPr>
        <w:ind w:left="2160" w:hanging="360"/>
      </w:pPr>
    </w:lvl>
    <w:lvl w:ilvl="1" w:tplc="B3EAA6E2">
      <w:start w:val="1"/>
      <w:numFmt w:val="lowerLetter"/>
      <w:lvlText w:val="%2."/>
      <w:lvlJc w:val="left"/>
      <w:pPr>
        <w:ind w:left="2880" w:hanging="360"/>
      </w:pPr>
    </w:lvl>
    <w:lvl w:ilvl="2" w:tplc="CE92424C">
      <w:start w:val="1"/>
      <w:numFmt w:val="lowerRoman"/>
      <w:lvlText w:val="%3."/>
      <w:lvlJc w:val="right"/>
      <w:pPr>
        <w:ind w:left="3600" w:hanging="180"/>
      </w:pPr>
    </w:lvl>
    <w:lvl w:ilvl="3" w:tplc="D0667A74">
      <w:start w:val="1"/>
      <w:numFmt w:val="decimal"/>
      <w:lvlText w:val="%4."/>
      <w:lvlJc w:val="left"/>
      <w:pPr>
        <w:ind w:left="4320" w:hanging="360"/>
      </w:pPr>
    </w:lvl>
    <w:lvl w:ilvl="4" w:tplc="270A148E">
      <w:start w:val="1"/>
      <w:numFmt w:val="lowerLetter"/>
      <w:lvlText w:val="%5."/>
      <w:lvlJc w:val="left"/>
      <w:pPr>
        <w:ind w:left="5040" w:hanging="360"/>
      </w:pPr>
    </w:lvl>
    <w:lvl w:ilvl="5" w:tplc="F1C0D5EC">
      <w:start w:val="1"/>
      <w:numFmt w:val="lowerRoman"/>
      <w:lvlText w:val="%6."/>
      <w:lvlJc w:val="right"/>
      <w:pPr>
        <w:ind w:left="5760" w:hanging="180"/>
      </w:pPr>
    </w:lvl>
    <w:lvl w:ilvl="6" w:tplc="4F6E8252">
      <w:start w:val="1"/>
      <w:numFmt w:val="decimal"/>
      <w:lvlText w:val="%7."/>
      <w:lvlJc w:val="left"/>
      <w:pPr>
        <w:ind w:left="6480" w:hanging="360"/>
      </w:pPr>
    </w:lvl>
    <w:lvl w:ilvl="7" w:tplc="E51875D8">
      <w:start w:val="1"/>
      <w:numFmt w:val="lowerLetter"/>
      <w:lvlText w:val="%8."/>
      <w:lvlJc w:val="left"/>
      <w:pPr>
        <w:ind w:left="7200" w:hanging="360"/>
      </w:pPr>
    </w:lvl>
    <w:lvl w:ilvl="8" w:tplc="41F823CA">
      <w:start w:val="1"/>
      <w:numFmt w:val="lowerRoman"/>
      <w:lvlText w:val="%9."/>
      <w:lvlJc w:val="right"/>
      <w:pPr>
        <w:ind w:left="7920" w:hanging="180"/>
      </w:pPr>
    </w:lvl>
  </w:abstractNum>
  <w:abstractNum w:abstractNumId="1" w15:restartNumberingAfterBreak="0">
    <w:nsid w:val="0CCA5D78"/>
    <w:multiLevelType w:val="hybridMultilevel"/>
    <w:tmpl w:val="9DCC2BEE"/>
    <w:lvl w:ilvl="0" w:tplc="FB96313E">
      <w:start w:val="1"/>
      <w:numFmt w:val="upperRoman"/>
      <w:lvlText w:val="%1."/>
      <w:lvlJc w:val="left"/>
      <w:pPr>
        <w:ind w:left="1080" w:hanging="72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E0E06"/>
    <w:multiLevelType w:val="hybridMultilevel"/>
    <w:tmpl w:val="B266AB46"/>
    <w:lvl w:ilvl="0" w:tplc="198EC778">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B118AB"/>
    <w:multiLevelType w:val="hybridMultilevel"/>
    <w:tmpl w:val="AEFA45F0"/>
    <w:lvl w:ilvl="0" w:tplc="74FC6038">
      <w:start w:val="1"/>
      <w:numFmt w:val="bullet"/>
      <w:lvlText w:val="-"/>
      <w:lvlJc w:val="left"/>
      <w:pPr>
        <w:ind w:left="720" w:hanging="360"/>
      </w:pPr>
      <w:rPr>
        <w:rFonts w:ascii="Aptos" w:hAnsi="Aptos" w:hint="default"/>
      </w:rPr>
    </w:lvl>
    <w:lvl w:ilvl="1" w:tplc="B796A110">
      <w:start w:val="1"/>
      <w:numFmt w:val="bullet"/>
      <w:lvlText w:val="o"/>
      <w:lvlJc w:val="left"/>
      <w:pPr>
        <w:ind w:left="1440" w:hanging="360"/>
      </w:pPr>
      <w:rPr>
        <w:rFonts w:ascii="Courier New" w:hAnsi="Courier New" w:hint="default"/>
      </w:rPr>
    </w:lvl>
    <w:lvl w:ilvl="2" w:tplc="889A149C">
      <w:start w:val="1"/>
      <w:numFmt w:val="bullet"/>
      <w:lvlText w:val=""/>
      <w:lvlJc w:val="left"/>
      <w:pPr>
        <w:ind w:left="2160" w:hanging="360"/>
      </w:pPr>
      <w:rPr>
        <w:rFonts w:ascii="Wingdings" w:hAnsi="Wingdings" w:hint="default"/>
      </w:rPr>
    </w:lvl>
    <w:lvl w:ilvl="3" w:tplc="FCA4D7A2">
      <w:start w:val="1"/>
      <w:numFmt w:val="bullet"/>
      <w:lvlText w:val=""/>
      <w:lvlJc w:val="left"/>
      <w:pPr>
        <w:ind w:left="2880" w:hanging="360"/>
      </w:pPr>
      <w:rPr>
        <w:rFonts w:ascii="Symbol" w:hAnsi="Symbol" w:hint="default"/>
      </w:rPr>
    </w:lvl>
    <w:lvl w:ilvl="4" w:tplc="EE3C0730">
      <w:start w:val="1"/>
      <w:numFmt w:val="bullet"/>
      <w:lvlText w:val="o"/>
      <w:lvlJc w:val="left"/>
      <w:pPr>
        <w:ind w:left="3600" w:hanging="360"/>
      </w:pPr>
      <w:rPr>
        <w:rFonts w:ascii="Courier New" w:hAnsi="Courier New" w:hint="default"/>
      </w:rPr>
    </w:lvl>
    <w:lvl w:ilvl="5" w:tplc="3574129C">
      <w:start w:val="1"/>
      <w:numFmt w:val="bullet"/>
      <w:lvlText w:val=""/>
      <w:lvlJc w:val="left"/>
      <w:pPr>
        <w:ind w:left="4320" w:hanging="360"/>
      </w:pPr>
      <w:rPr>
        <w:rFonts w:ascii="Wingdings" w:hAnsi="Wingdings" w:hint="default"/>
      </w:rPr>
    </w:lvl>
    <w:lvl w:ilvl="6" w:tplc="412EF346">
      <w:start w:val="1"/>
      <w:numFmt w:val="bullet"/>
      <w:lvlText w:val=""/>
      <w:lvlJc w:val="left"/>
      <w:pPr>
        <w:ind w:left="5040" w:hanging="360"/>
      </w:pPr>
      <w:rPr>
        <w:rFonts w:ascii="Symbol" w:hAnsi="Symbol" w:hint="default"/>
      </w:rPr>
    </w:lvl>
    <w:lvl w:ilvl="7" w:tplc="883042AC">
      <w:start w:val="1"/>
      <w:numFmt w:val="bullet"/>
      <w:lvlText w:val="o"/>
      <w:lvlJc w:val="left"/>
      <w:pPr>
        <w:ind w:left="5760" w:hanging="360"/>
      </w:pPr>
      <w:rPr>
        <w:rFonts w:ascii="Courier New" w:hAnsi="Courier New" w:hint="default"/>
      </w:rPr>
    </w:lvl>
    <w:lvl w:ilvl="8" w:tplc="454CFF08">
      <w:start w:val="1"/>
      <w:numFmt w:val="bullet"/>
      <w:lvlText w:val=""/>
      <w:lvlJc w:val="left"/>
      <w:pPr>
        <w:ind w:left="6480" w:hanging="360"/>
      </w:pPr>
      <w:rPr>
        <w:rFonts w:ascii="Wingdings" w:hAnsi="Wingdings" w:hint="default"/>
      </w:rPr>
    </w:lvl>
  </w:abstractNum>
  <w:abstractNum w:abstractNumId="4" w15:restartNumberingAfterBreak="0">
    <w:nsid w:val="1F53D1E5"/>
    <w:multiLevelType w:val="hybridMultilevel"/>
    <w:tmpl w:val="47D8BAFE"/>
    <w:lvl w:ilvl="0" w:tplc="51AA7F9A">
      <w:start w:val="1"/>
      <w:numFmt w:val="upperLetter"/>
      <w:lvlText w:val="%1."/>
      <w:lvlJc w:val="left"/>
      <w:pPr>
        <w:ind w:left="360" w:hanging="360"/>
      </w:pPr>
    </w:lvl>
    <w:lvl w:ilvl="1" w:tplc="B51A209A">
      <w:start w:val="1"/>
      <w:numFmt w:val="lowerLetter"/>
      <w:lvlText w:val="%2."/>
      <w:lvlJc w:val="left"/>
      <w:pPr>
        <w:ind w:left="1080" w:hanging="360"/>
      </w:pPr>
    </w:lvl>
    <w:lvl w:ilvl="2" w:tplc="183C3322">
      <w:start w:val="1"/>
      <w:numFmt w:val="lowerRoman"/>
      <w:lvlText w:val="%3."/>
      <w:lvlJc w:val="right"/>
      <w:pPr>
        <w:ind w:left="1800" w:hanging="180"/>
      </w:pPr>
    </w:lvl>
    <w:lvl w:ilvl="3" w:tplc="26167098">
      <w:start w:val="1"/>
      <w:numFmt w:val="decimal"/>
      <w:lvlText w:val="%4."/>
      <w:lvlJc w:val="left"/>
      <w:pPr>
        <w:ind w:left="2520" w:hanging="360"/>
      </w:pPr>
    </w:lvl>
    <w:lvl w:ilvl="4" w:tplc="E78C7522">
      <w:start w:val="1"/>
      <w:numFmt w:val="lowerLetter"/>
      <w:lvlText w:val="%5."/>
      <w:lvlJc w:val="left"/>
      <w:pPr>
        <w:ind w:left="3240" w:hanging="360"/>
      </w:pPr>
    </w:lvl>
    <w:lvl w:ilvl="5" w:tplc="39FE1E5A">
      <w:start w:val="1"/>
      <w:numFmt w:val="lowerRoman"/>
      <w:lvlText w:val="%6."/>
      <w:lvlJc w:val="right"/>
      <w:pPr>
        <w:ind w:left="3960" w:hanging="180"/>
      </w:pPr>
    </w:lvl>
    <w:lvl w:ilvl="6" w:tplc="CCCC33C4">
      <w:start w:val="1"/>
      <w:numFmt w:val="decimal"/>
      <w:lvlText w:val="%7."/>
      <w:lvlJc w:val="left"/>
      <w:pPr>
        <w:ind w:left="4680" w:hanging="360"/>
      </w:pPr>
    </w:lvl>
    <w:lvl w:ilvl="7" w:tplc="4A364E02">
      <w:start w:val="1"/>
      <w:numFmt w:val="lowerLetter"/>
      <w:lvlText w:val="%8."/>
      <w:lvlJc w:val="left"/>
      <w:pPr>
        <w:ind w:left="5400" w:hanging="360"/>
      </w:pPr>
    </w:lvl>
    <w:lvl w:ilvl="8" w:tplc="110ECBE6">
      <w:start w:val="1"/>
      <w:numFmt w:val="lowerRoman"/>
      <w:lvlText w:val="%9."/>
      <w:lvlJc w:val="right"/>
      <w:pPr>
        <w:ind w:left="6120" w:hanging="180"/>
      </w:pPr>
    </w:lvl>
  </w:abstractNum>
  <w:abstractNum w:abstractNumId="5" w15:restartNumberingAfterBreak="0">
    <w:nsid w:val="2A6816D9"/>
    <w:multiLevelType w:val="hybridMultilevel"/>
    <w:tmpl w:val="7AB6F498"/>
    <w:lvl w:ilvl="0" w:tplc="0B6C6F68">
      <w:start w:val="1"/>
      <w:numFmt w:val="upperRoman"/>
      <w:lvlText w:val="%1."/>
      <w:lvlJc w:val="left"/>
      <w:pPr>
        <w:ind w:left="720" w:hanging="720"/>
      </w:pPr>
      <w:rPr>
        <w:rFonts w:hint="default"/>
        <w:i w:val="0"/>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4F54F28"/>
    <w:multiLevelType w:val="hybridMultilevel"/>
    <w:tmpl w:val="FC3E6E42"/>
    <w:lvl w:ilvl="0" w:tplc="04102BEA">
      <w:start w:val="1"/>
      <w:numFmt w:val="decimal"/>
      <w:lvlText w:val="%1."/>
      <w:lvlJc w:val="left"/>
      <w:pPr>
        <w:ind w:left="2760" w:hanging="9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9FE0D2A"/>
    <w:multiLevelType w:val="hybridMultilevel"/>
    <w:tmpl w:val="F35E1B3E"/>
    <w:lvl w:ilvl="0" w:tplc="98DCAE20">
      <w:start w:val="1"/>
      <w:numFmt w:val="bullet"/>
      <w:lvlText w:val="-"/>
      <w:lvlJc w:val="left"/>
      <w:pPr>
        <w:ind w:left="720" w:hanging="360"/>
      </w:pPr>
      <w:rPr>
        <w:rFonts w:ascii="Aptos" w:hAnsi="Aptos" w:hint="default"/>
      </w:rPr>
    </w:lvl>
    <w:lvl w:ilvl="1" w:tplc="8544F3DA">
      <w:start w:val="1"/>
      <w:numFmt w:val="bullet"/>
      <w:lvlText w:val="o"/>
      <w:lvlJc w:val="left"/>
      <w:pPr>
        <w:ind w:left="1440" w:hanging="360"/>
      </w:pPr>
      <w:rPr>
        <w:rFonts w:ascii="Courier New" w:hAnsi="Courier New" w:hint="default"/>
      </w:rPr>
    </w:lvl>
    <w:lvl w:ilvl="2" w:tplc="75AA6A32">
      <w:start w:val="1"/>
      <w:numFmt w:val="bullet"/>
      <w:lvlText w:val=""/>
      <w:lvlJc w:val="left"/>
      <w:pPr>
        <w:ind w:left="2160" w:hanging="360"/>
      </w:pPr>
      <w:rPr>
        <w:rFonts w:ascii="Wingdings" w:hAnsi="Wingdings" w:hint="default"/>
      </w:rPr>
    </w:lvl>
    <w:lvl w:ilvl="3" w:tplc="73003044">
      <w:start w:val="1"/>
      <w:numFmt w:val="bullet"/>
      <w:lvlText w:val=""/>
      <w:lvlJc w:val="left"/>
      <w:pPr>
        <w:ind w:left="2880" w:hanging="360"/>
      </w:pPr>
      <w:rPr>
        <w:rFonts w:ascii="Symbol" w:hAnsi="Symbol" w:hint="default"/>
      </w:rPr>
    </w:lvl>
    <w:lvl w:ilvl="4" w:tplc="0C74FCE0">
      <w:start w:val="1"/>
      <w:numFmt w:val="bullet"/>
      <w:lvlText w:val="o"/>
      <w:lvlJc w:val="left"/>
      <w:pPr>
        <w:ind w:left="3600" w:hanging="360"/>
      </w:pPr>
      <w:rPr>
        <w:rFonts w:ascii="Courier New" w:hAnsi="Courier New" w:hint="default"/>
      </w:rPr>
    </w:lvl>
    <w:lvl w:ilvl="5" w:tplc="E3FCC7E2">
      <w:start w:val="1"/>
      <w:numFmt w:val="bullet"/>
      <w:lvlText w:val=""/>
      <w:lvlJc w:val="left"/>
      <w:pPr>
        <w:ind w:left="4320" w:hanging="360"/>
      </w:pPr>
      <w:rPr>
        <w:rFonts w:ascii="Wingdings" w:hAnsi="Wingdings" w:hint="default"/>
      </w:rPr>
    </w:lvl>
    <w:lvl w:ilvl="6" w:tplc="D564DF6E">
      <w:start w:val="1"/>
      <w:numFmt w:val="bullet"/>
      <w:lvlText w:val=""/>
      <w:lvlJc w:val="left"/>
      <w:pPr>
        <w:ind w:left="5040" w:hanging="360"/>
      </w:pPr>
      <w:rPr>
        <w:rFonts w:ascii="Symbol" w:hAnsi="Symbol" w:hint="default"/>
      </w:rPr>
    </w:lvl>
    <w:lvl w:ilvl="7" w:tplc="054E0058">
      <w:start w:val="1"/>
      <w:numFmt w:val="bullet"/>
      <w:lvlText w:val="o"/>
      <w:lvlJc w:val="left"/>
      <w:pPr>
        <w:ind w:left="5760" w:hanging="360"/>
      </w:pPr>
      <w:rPr>
        <w:rFonts w:ascii="Courier New" w:hAnsi="Courier New" w:hint="default"/>
      </w:rPr>
    </w:lvl>
    <w:lvl w:ilvl="8" w:tplc="68003DDC">
      <w:start w:val="1"/>
      <w:numFmt w:val="bullet"/>
      <w:lvlText w:val=""/>
      <w:lvlJc w:val="left"/>
      <w:pPr>
        <w:ind w:left="6480" w:hanging="360"/>
      </w:pPr>
      <w:rPr>
        <w:rFonts w:ascii="Wingdings" w:hAnsi="Wingdings" w:hint="default"/>
      </w:rPr>
    </w:lvl>
  </w:abstractNum>
  <w:abstractNum w:abstractNumId="8" w15:restartNumberingAfterBreak="0">
    <w:nsid w:val="51754DDF"/>
    <w:multiLevelType w:val="hybridMultilevel"/>
    <w:tmpl w:val="78003940"/>
    <w:lvl w:ilvl="0" w:tplc="C7C6ABA2">
      <w:start w:val="1"/>
      <w:numFmt w:val="upp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7D9C83"/>
    <w:multiLevelType w:val="hybridMultilevel"/>
    <w:tmpl w:val="4E2E8BAC"/>
    <w:lvl w:ilvl="0" w:tplc="EBA01522">
      <w:start w:val="1"/>
      <w:numFmt w:val="lowerLetter"/>
      <w:lvlText w:val="%1."/>
      <w:lvlJc w:val="left"/>
      <w:pPr>
        <w:ind w:left="1080" w:hanging="360"/>
      </w:pPr>
    </w:lvl>
    <w:lvl w:ilvl="1" w:tplc="30CA3500">
      <w:start w:val="1"/>
      <w:numFmt w:val="lowerLetter"/>
      <w:lvlText w:val="%2."/>
      <w:lvlJc w:val="left"/>
      <w:pPr>
        <w:ind w:left="1800" w:hanging="360"/>
      </w:pPr>
    </w:lvl>
    <w:lvl w:ilvl="2" w:tplc="C0C278F6">
      <w:start w:val="1"/>
      <w:numFmt w:val="lowerRoman"/>
      <w:lvlText w:val="%3."/>
      <w:lvlJc w:val="right"/>
      <w:pPr>
        <w:ind w:left="2520" w:hanging="180"/>
      </w:pPr>
    </w:lvl>
    <w:lvl w:ilvl="3" w:tplc="DD660EE4">
      <w:start w:val="1"/>
      <w:numFmt w:val="decimal"/>
      <w:lvlText w:val="%4."/>
      <w:lvlJc w:val="left"/>
      <w:pPr>
        <w:ind w:left="3240" w:hanging="360"/>
      </w:pPr>
    </w:lvl>
    <w:lvl w:ilvl="4" w:tplc="852A0C66">
      <w:start w:val="1"/>
      <w:numFmt w:val="lowerLetter"/>
      <w:lvlText w:val="%5."/>
      <w:lvlJc w:val="left"/>
      <w:pPr>
        <w:ind w:left="3960" w:hanging="360"/>
      </w:pPr>
    </w:lvl>
    <w:lvl w:ilvl="5" w:tplc="2B3AADDC">
      <w:start w:val="1"/>
      <w:numFmt w:val="lowerRoman"/>
      <w:lvlText w:val="%6."/>
      <w:lvlJc w:val="right"/>
      <w:pPr>
        <w:ind w:left="4680" w:hanging="180"/>
      </w:pPr>
    </w:lvl>
    <w:lvl w:ilvl="6" w:tplc="667408D0">
      <w:start w:val="1"/>
      <w:numFmt w:val="decimal"/>
      <w:lvlText w:val="%7."/>
      <w:lvlJc w:val="left"/>
      <w:pPr>
        <w:ind w:left="5400" w:hanging="360"/>
      </w:pPr>
    </w:lvl>
    <w:lvl w:ilvl="7" w:tplc="657CB414">
      <w:start w:val="1"/>
      <w:numFmt w:val="lowerLetter"/>
      <w:lvlText w:val="%8."/>
      <w:lvlJc w:val="left"/>
      <w:pPr>
        <w:ind w:left="6120" w:hanging="360"/>
      </w:pPr>
    </w:lvl>
    <w:lvl w:ilvl="8" w:tplc="D972786C">
      <w:start w:val="1"/>
      <w:numFmt w:val="lowerRoman"/>
      <w:lvlText w:val="%9."/>
      <w:lvlJc w:val="right"/>
      <w:pPr>
        <w:ind w:left="6840" w:hanging="180"/>
      </w:pPr>
    </w:lvl>
  </w:abstractNum>
  <w:abstractNum w:abstractNumId="10" w15:restartNumberingAfterBreak="0">
    <w:nsid w:val="6E126E50"/>
    <w:multiLevelType w:val="hybridMultilevel"/>
    <w:tmpl w:val="F35E08D2"/>
    <w:lvl w:ilvl="0" w:tplc="EAB261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098F248"/>
    <w:multiLevelType w:val="hybridMultilevel"/>
    <w:tmpl w:val="89309794"/>
    <w:lvl w:ilvl="0" w:tplc="6D4EE590">
      <w:start w:val="3"/>
      <w:numFmt w:val="upperRoman"/>
      <w:lvlText w:val="%1."/>
      <w:lvlJc w:val="left"/>
      <w:pPr>
        <w:ind w:left="720" w:hanging="360"/>
      </w:pPr>
    </w:lvl>
    <w:lvl w:ilvl="1" w:tplc="819CADF0">
      <w:start w:val="1"/>
      <w:numFmt w:val="lowerLetter"/>
      <w:lvlText w:val="%2."/>
      <w:lvlJc w:val="left"/>
      <w:pPr>
        <w:ind w:left="1440" w:hanging="360"/>
      </w:pPr>
    </w:lvl>
    <w:lvl w:ilvl="2" w:tplc="70643DCA">
      <w:start w:val="1"/>
      <w:numFmt w:val="lowerRoman"/>
      <w:lvlText w:val="%3."/>
      <w:lvlJc w:val="right"/>
      <w:pPr>
        <w:ind w:left="2160" w:hanging="180"/>
      </w:pPr>
    </w:lvl>
    <w:lvl w:ilvl="3" w:tplc="C6424682">
      <w:start w:val="1"/>
      <w:numFmt w:val="decimal"/>
      <w:lvlText w:val="%4."/>
      <w:lvlJc w:val="left"/>
      <w:pPr>
        <w:ind w:left="2880" w:hanging="360"/>
      </w:pPr>
    </w:lvl>
    <w:lvl w:ilvl="4" w:tplc="74264772">
      <w:start w:val="1"/>
      <w:numFmt w:val="lowerLetter"/>
      <w:lvlText w:val="%5."/>
      <w:lvlJc w:val="left"/>
      <w:pPr>
        <w:ind w:left="3600" w:hanging="360"/>
      </w:pPr>
    </w:lvl>
    <w:lvl w:ilvl="5" w:tplc="77BCDFCA">
      <w:start w:val="1"/>
      <w:numFmt w:val="lowerRoman"/>
      <w:lvlText w:val="%6."/>
      <w:lvlJc w:val="right"/>
      <w:pPr>
        <w:ind w:left="4320" w:hanging="180"/>
      </w:pPr>
    </w:lvl>
    <w:lvl w:ilvl="6" w:tplc="01903362">
      <w:start w:val="1"/>
      <w:numFmt w:val="decimal"/>
      <w:lvlText w:val="%7."/>
      <w:lvlJc w:val="left"/>
      <w:pPr>
        <w:ind w:left="5040" w:hanging="360"/>
      </w:pPr>
    </w:lvl>
    <w:lvl w:ilvl="7" w:tplc="7D905A70">
      <w:start w:val="1"/>
      <w:numFmt w:val="lowerLetter"/>
      <w:lvlText w:val="%8."/>
      <w:lvlJc w:val="left"/>
      <w:pPr>
        <w:ind w:left="5760" w:hanging="360"/>
      </w:pPr>
    </w:lvl>
    <w:lvl w:ilvl="8" w:tplc="0D62D7EC">
      <w:start w:val="1"/>
      <w:numFmt w:val="lowerRoman"/>
      <w:lvlText w:val="%9."/>
      <w:lvlJc w:val="right"/>
      <w:pPr>
        <w:ind w:left="6480" w:hanging="180"/>
      </w:pPr>
    </w:lvl>
  </w:abstractNum>
  <w:abstractNum w:abstractNumId="12" w15:restartNumberingAfterBreak="0">
    <w:nsid w:val="732A3DF2"/>
    <w:multiLevelType w:val="hybridMultilevel"/>
    <w:tmpl w:val="9B467D3E"/>
    <w:lvl w:ilvl="0" w:tplc="4E28E24E">
      <w:start w:val="1"/>
      <w:numFmt w:val="lowerLetter"/>
      <w:lvlText w:val="%1."/>
      <w:lvlJc w:val="left"/>
      <w:pPr>
        <w:ind w:left="1080" w:hanging="360"/>
      </w:pPr>
    </w:lvl>
    <w:lvl w:ilvl="1" w:tplc="5942CE9C">
      <w:start w:val="1"/>
      <w:numFmt w:val="lowerLetter"/>
      <w:lvlText w:val="%2."/>
      <w:lvlJc w:val="left"/>
      <w:pPr>
        <w:ind w:left="1800" w:hanging="360"/>
      </w:pPr>
    </w:lvl>
    <w:lvl w:ilvl="2" w:tplc="B95694E6">
      <w:start w:val="1"/>
      <w:numFmt w:val="lowerRoman"/>
      <w:lvlText w:val="%3."/>
      <w:lvlJc w:val="right"/>
      <w:pPr>
        <w:ind w:left="2520" w:hanging="180"/>
      </w:pPr>
    </w:lvl>
    <w:lvl w:ilvl="3" w:tplc="DCCAB35C">
      <w:start w:val="1"/>
      <w:numFmt w:val="decimal"/>
      <w:lvlText w:val="%4."/>
      <w:lvlJc w:val="left"/>
      <w:pPr>
        <w:ind w:left="3240" w:hanging="360"/>
      </w:pPr>
    </w:lvl>
    <w:lvl w:ilvl="4" w:tplc="63227856">
      <w:start w:val="1"/>
      <w:numFmt w:val="lowerLetter"/>
      <w:lvlText w:val="%5."/>
      <w:lvlJc w:val="left"/>
      <w:pPr>
        <w:ind w:left="3960" w:hanging="360"/>
      </w:pPr>
    </w:lvl>
    <w:lvl w:ilvl="5" w:tplc="FF90E5E8">
      <w:start w:val="1"/>
      <w:numFmt w:val="lowerRoman"/>
      <w:lvlText w:val="%6."/>
      <w:lvlJc w:val="right"/>
      <w:pPr>
        <w:ind w:left="4680" w:hanging="180"/>
      </w:pPr>
    </w:lvl>
    <w:lvl w:ilvl="6" w:tplc="9D787F66">
      <w:start w:val="1"/>
      <w:numFmt w:val="decimal"/>
      <w:lvlText w:val="%7."/>
      <w:lvlJc w:val="left"/>
      <w:pPr>
        <w:ind w:left="5400" w:hanging="360"/>
      </w:pPr>
    </w:lvl>
    <w:lvl w:ilvl="7" w:tplc="0A56D774">
      <w:start w:val="1"/>
      <w:numFmt w:val="lowerLetter"/>
      <w:lvlText w:val="%8."/>
      <w:lvlJc w:val="left"/>
      <w:pPr>
        <w:ind w:left="6120" w:hanging="360"/>
      </w:pPr>
    </w:lvl>
    <w:lvl w:ilvl="8" w:tplc="FCBAF468">
      <w:start w:val="1"/>
      <w:numFmt w:val="lowerRoman"/>
      <w:lvlText w:val="%9."/>
      <w:lvlJc w:val="right"/>
      <w:pPr>
        <w:ind w:left="6840" w:hanging="180"/>
      </w:pPr>
    </w:lvl>
  </w:abstractNum>
  <w:abstractNum w:abstractNumId="13" w15:restartNumberingAfterBreak="0">
    <w:nsid w:val="7417578B"/>
    <w:multiLevelType w:val="hybridMultilevel"/>
    <w:tmpl w:val="3FE24AC6"/>
    <w:lvl w:ilvl="0" w:tplc="F0EE70E8">
      <w:start w:val="1"/>
      <w:numFmt w:val="upperLetter"/>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FB879F9"/>
    <w:multiLevelType w:val="hybridMultilevel"/>
    <w:tmpl w:val="3748375C"/>
    <w:lvl w:ilvl="0" w:tplc="B338E7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76181215">
    <w:abstractNumId w:val="0"/>
  </w:num>
  <w:num w:numId="2" w16cid:durableId="683672463">
    <w:abstractNumId w:val="12"/>
  </w:num>
  <w:num w:numId="3" w16cid:durableId="200362112">
    <w:abstractNumId w:val="9"/>
  </w:num>
  <w:num w:numId="4" w16cid:durableId="1100565140">
    <w:abstractNumId w:val="7"/>
  </w:num>
  <w:num w:numId="5" w16cid:durableId="1851480758">
    <w:abstractNumId w:val="3"/>
  </w:num>
  <w:num w:numId="6" w16cid:durableId="991710777">
    <w:abstractNumId w:val="4"/>
  </w:num>
  <w:num w:numId="7" w16cid:durableId="1522819081">
    <w:abstractNumId w:val="11"/>
  </w:num>
  <w:num w:numId="8" w16cid:durableId="187835897">
    <w:abstractNumId w:val="6"/>
  </w:num>
  <w:num w:numId="9" w16cid:durableId="646324407">
    <w:abstractNumId w:val="5"/>
  </w:num>
  <w:num w:numId="10" w16cid:durableId="456223498">
    <w:abstractNumId w:val="10"/>
  </w:num>
  <w:num w:numId="11" w16cid:durableId="1928885048">
    <w:abstractNumId w:val="1"/>
  </w:num>
  <w:num w:numId="12" w16cid:durableId="465509835">
    <w:abstractNumId w:val="8"/>
  </w:num>
  <w:num w:numId="13" w16cid:durableId="1350327295">
    <w:abstractNumId w:val="13"/>
  </w:num>
  <w:num w:numId="14" w16cid:durableId="2035501642">
    <w:abstractNumId w:val="2"/>
  </w:num>
  <w:num w:numId="15" w16cid:durableId="7125789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391"/>
    <w:rsid w:val="00010C55"/>
    <w:rsid w:val="000129E1"/>
    <w:rsid w:val="000144D3"/>
    <w:rsid w:val="000152AB"/>
    <w:rsid w:val="00017C68"/>
    <w:rsid w:val="00020B6C"/>
    <w:rsid w:val="00020BA3"/>
    <w:rsid w:val="0003097F"/>
    <w:rsid w:val="00033319"/>
    <w:rsid w:val="000362DD"/>
    <w:rsid w:val="00052E4C"/>
    <w:rsid w:val="00057FF8"/>
    <w:rsid w:val="00071A83"/>
    <w:rsid w:val="00074BCA"/>
    <w:rsid w:val="000779ED"/>
    <w:rsid w:val="000900B3"/>
    <w:rsid w:val="000909AB"/>
    <w:rsid w:val="00091145"/>
    <w:rsid w:val="00091C86"/>
    <w:rsid w:val="00095094"/>
    <w:rsid w:val="00096994"/>
    <w:rsid w:val="000A4356"/>
    <w:rsid w:val="000A6E32"/>
    <w:rsid w:val="000B1F52"/>
    <w:rsid w:val="000B5AEC"/>
    <w:rsid w:val="000B5BF9"/>
    <w:rsid w:val="000B7809"/>
    <w:rsid w:val="000C2E52"/>
    <w:rsid w:val="000C314D"/>
    <w:rsid w:val="000C3DD2"/>
    <w:rsid w:val="000C3DDE"/>
    <w:rsid w:val="000C58DA"/>
    <w:rsid w:val="000C646A"/>
    <w:rsid w:val="000C6F21"/>
    <w:rsid w:val="000C76FE"/>
    <w:rsid w:val="000D5077"/>
    <w:rsid w:val="000E4126"/>
    <w:rsid w:val="000E7099"/>
    <w:rsid w:val="000F184D"/>
    <w:rsid w:val="000F3DBD"/>
    <w:rsid w:val="00107249"/>
    <w:rsid w:val="00120243"/>
    <w:rsid w:val="00130050"/>
    <w:rsid w:val="00130CD8"/>
    <w:rsid w:val="001367EF"/>
    <w:rsid w:val="001424B1"/>
    <w:rsid w:val="00145876"/>
    <w:rsid w:val="00145EC2"/>
    <w:rsid w:val="001466F7"/>
    <w:rsid w:val="00150C5C"/>
    <w:rsid w:val="00152013"/>
    <w:rsid w:val="00154DD0"/>
    <w:rsid w:val="00161663"/>
    <w:rsid w:val="001668E9"/>
    <w:rsid w:val="00167148"/>
    <w:rsid w:val="00171A87"/>
    <w:rsid w:val="00172841"/>
    <w:rsid w:val="00173A12"/>
    <w:rsid w:val="00173F75"/>
    <w:rsid w:val="001751D3"/>
    <w:rsid w:val="0018172C"/>
    <w:rsid w:val="001825E7"/>
    <w:rsid w:val="001841C5"/>
    <w:rsid w:val="0018465F"/>
    <w:rsid w:val="00187800"/>
    <w:rsid w:val="00192B79"/>
    <w:rsid w:val="00195671"/>
    <w:rsid w:val="001A3A0B"/>
    <w:rsid w:val="001A3DFE"/>
    <w:rsid w:val="001C178C"/>
    <w:rsid w:val="001C7AFC"/>
    <w:rsid w:val="001C7E5A"/>
    <w:rsid w:val="001D1EB1"/>
    <w:rsid w:val="001D21A3"/>
    <w:rsid w:val="001D2600"/>
    <w:rsid w:val="001D316E"/>
    <w:rsid w:val="001D5B92"/>
    <w:rsid w:val="001E00E5"/>
    <w:rsid w:val="001E4487"/>
    <w:rsid w:val="001E6C9C"/>
    <w:rsid w:val="001F2E21"/>
    <w:rsid w:val="001F73AD"/>
    <w:rsid w:val="001F779C"/>
    <w:rsid w:val="002112D0"/>
    <w:rsid w:val="00211B9C"/>
    <w:rsid w:val="002135DA"/>
    <w:rsid w:val="00215D6D"/>
    <w:rsid w:val="0022165E"/>
    <w:rsid w:val="00221CEE"/>
    <w:rsid w:val="00226208"/>
    <w:rsid w:val="00234E22"/>
    <w:rsid w:val="00235F9B"/>
    <w:rsid w:val="00252131"/>
    <w:rsid w:val="00253757"/>
    <w:rsid w:val="00254C1C"/>
    <w:rsid w:val="00256C4F"/>
    <w:rsid w:val="00257299"/>
    <w:rsid w:val="00260326"/>
    <w:rsid w:val="00263320"/>
    <w:rsid w:val="00265041"/>
    <w:rsid w:val="002650D4"/>
    <w:rsid w:val="00266A35"/>
    <w:rsid w:val="0029083D"/>
    <w:rsid w:val="002A3064"/>
    <w:rsid w:val="002B339F"/>
    <w:rsid w:val="002B38CD"/>
    <w:rsid w:val="002C3002"/>
    <w:rsid w:val="002C3270"/>
    <w:rsid w:val="002C50C3"/>
    <w:rsid w:val="002D4E04"/>
    <w:rsid w:val="002D4FDC"/>
    <w:rsid w:val="002E32B9"/>
    <w:rsid w:val="002EB008"/>
    <w:rsid w:val="002F5F48"/>
    <w:rsid w:val="00304912"/>
    <w:rsid w:val="00304FB8"/>
    <w:rsid w:val="00305526"/>
    <w:rsid w:val="003115E2"/>
    <w:rsid w:val="00311A2C"/>
    <w:rsid w:val="003125DD"/>
    <w:rsid w:val="00316D85"/>
    <w:rsid w:val="00325C8C"/>
    <w:rsid w:val="00331E1F"/>
    <w:rsid w:val="0033221F"/>
    <w:rsid w:val="00332649"/>
    <w:rsid w:val="003341DC"/>
    <w:rsid w:val="00345B7D"/>
    <w:rsid w:val="00345C65"/>
    <w:rsid w:val="0034617B"/>
    <w:rsid w:val="00347021"/>
    <w:rsid w:val="00350AD9"/>
    <w:rsid w:val="0035751F"/>
    <w:rsid w:val="00363571"/>
    <w:rsid w:val="00366BDB"/>
    <w:rsid w:val="003675C7"/>
    <w:rsid w:val="003747A9"/>
    <w:rsid w:val="0037507D"/>
    <w:rsid w:val="00375337"/>
    <w:rsid w:val="00385E4C"/>
    <w:rsid w:val="0038A1AD"/>
    <w:rsid w:val="00391E48"/>
    <w:rsid w:val="00393194"/>
    <w:rsid w:val="00394D9D"/>
    <w:rsid w:val="003A2E55"/>
    <w:rsid w:val="003B76BF"/>
    <w:rsid w:val="003B76EC"/>
    <w:rsid w:val="003C0F44"/>
    <w:rsid w:val="003C14A8"/>
    <w:rsid w:val="003C2B3B"/>
    <w:rsid w:val="003C555F"/>
    <w:rsid w:val="003D1C72"/>
    <w:rsid w:val="003D4702"/>
    <w:rsid w:val="003E4C0D"/>
    <w:rsid w:val="003F6C2C"/>
    <w:rsid w:val="00404391"/>
    <w:rsid w:val="00404446"/>
    <w:rsid w:val="00404B35"/>
    <w:rsid w:val="00407106"/>
    <w:rsid w:val="004177A7"/>
    <w:rsid w:val="004234E5"/>
    <w:rsid w:val="00427FF2"/>
    <w:rsid w:val="00431EC7"/>
    <w:rsid w:val="004335FC"/>
    <w:rsid w:val="00451A7B"/>
    <w:rsid w:val="004524D8"/>
    <w:rsid w:val="00452D05"/>
    <w:rsid w:val="0045713E"/>
    <w:rsid w:val="00466B99"/>
    <w:rsid w:val="0047244C"/>
    <w:rsid w:val="0048327A"/>
    <w:rsid w:val="0048589F"/>
    <w:rsid w:val="00497259"/>
    <w:rsid w:val="004A1CA8"/>
    <w:rsid w:val="004A37EA"/>
    <w:rsid w:val="004A6ADC"/>
    <w:rsid w:val="004A78E9"/>
    <w:rsid w:val="004B5028"/>
    <w:rsid w:val="004B5D1E"/>
    <w:rsid w:val="004C05EC"/>
    <w:rsid w:val="004C52F9"/>
    <w:rsid w:val="004C682E"/>
    <w:rsid w:val="004D1DC2"/>
    <w:rsid w:val="004E286C"/>
    <w:rsid w:val="004E5D6B"/>
    <w:rsid w:val="004F25C5"/>
    <w:rsid w:val="004F34CB"/>
    <w:rsid w:val="004F3B56"/>
    <w:rsid w:val="004F429F"/>
    <w:rsid w:val="004F4745"/>
    <w:rsid w:val="004F73DE"/>
    <w:rsid w:val="0050034A"/>
    <w:rsid w:val="00501C97"/>
    <w:rsid w:val="0050567F"/>
    <w:rsid w:val="00506A8F"/>
    <w:rsid w:val="00506F09"/>
    <w:rsid w:val="005075DF"/>
    <w:rsid w:val="005139CD"/>
    <w:rsid w:val="00520DA4"/>
    <w:rsid w:val="00534118"/>
    <w:rsid w:val="00536518"/>
    <w:rsid w:val="0054049A"/>
    <w:rsid w:val="005452E6"/>
    <w:rsid w:val="0054535B"/>
    <w:rsid w:val="00545D6D"/>
    <w:rsid w:val="00552A8D"/>
    <w:rsid w:val="00556DB1"/>
    <w:rsid w:val="00563F53"/>
    <w:rsid w:val="0057238E"/>
    <w:rsid w:val="00572FE9"/>
    <w:rsid w:val="00584B06"/>
    <w:rsid w:val="005926BD"/>
    <w:rsid w:val="005932CD"/>
    <w:rsid w:val="005944F7"/>
    <w:rsid w:val="005A2C6F"/>
    <w:rsid w:val="005D46AE"/>
    <w:rsid w:val="005D7DBB"/>
    <w:rsid w:val="005E0FB9"/>
    <w:rsid w:val="005E4DC7"/>
    <w:rsid w:val="005E59D5"/>
    <w:rsid w:val="005E7890"/>
    <w:rsid w:val="005F2FF0"/>
    <w:rsid w:val="005F364C"/>
    <w:rsid w:val="005F66C4"/>
    <w:rsid w:val="005F7755"/>
    <w:rsid w:val="005F7B71"/>
    <w:rsid w:val="006007E9"/>
    <w:rsid w:val="00614E4C"/>
    <w:rsid w:val="00626218"/>
    <w:rsid w:val="00631F88"/>
    <w:rsid w:val="00640761"/>
    <w:rsid w:val="00641C08"/>
    <w:rsid w:val="00644A0E"/>
    <w:rsid w:val="00645662"/>
    <w:rsid w:val="00646660"/>
    <w:rsid w:val="00647D19"/>
    <w:rsid w:val="00650095"/>
    <w:rsid w:val="00656154"/>
    <w:rsid w:val="00656597"/>
    <w:rsid w:val="006625B6"/>
    <w:rsid w:val="00662CFF"/>
    <w:rsid w:val="00666167"/>
    <w:rsid w:val="00667239"/>
    <w:rsid w:val="006733C1"/>
    <w:rsid w:val="00674448"/>
    <w:rsid w:val="00677E59"/>
    <w:rsid w:val="00684B80"/>
    <w:rsid w:val="00687BB5"/>
    <w:rsid w:val="00696D17"/>
    <w:rsid w:val="006A068F"/>
    <w:rsid w:val="006A3667"/>
    <w:rsid w:val="006A7251"/>
    <w:rsid w:val="006B0BF1"/>
    <w:rsid w:val="006B5541"/>
    <w:rsid w:val="006C0F3A"/>
    <w:rsid w:val="006C13CF"/>
    <w:rsid w:val="006D362E"/>
    <w:rsid w:val="006E25BC"/>
    <w:rsid w:val="006E3CF2"/>
    <w:rsid w:val="00703A57"/>
    <w:rsid w:val="00703B97"/>
    <w:rsid w:val="00705BA2"/>
    <w:rsid w:val="00706C1F"/>
    <w:rsid w:val="00707EAB"/>
    <w:rsid w:val="007107D0"/>
    <w:rsid w:val="00711CDB"/>
    <w:rsid w:val="00713370"/>
    <w:rsid w:val="007174DD"/>
    <w:rsid w:val="00722DD4"/>
    <w:rsid w:val="007274D3"/>
    <w:rsid w:val="00741393"/>
    <w:rsid w:val="007453A1"/>
    <w:rsid w:val="00753506"/>
    <w:rsid w:val="007553A5"/>
    <w:rsid w:val="00756432"/>
    <w:rsid w:val="00757349"/>
    <w:rsid w:val="00760542"/>
    <w:rsid w:val="00764A0C"/>
    <w:rsid w:val="0077721C"/>
    <w:rsid w:val="0078686C"/>
    <w:rsid w:val="0079425B"/>
    <w:rsid w:val="007A0791"/>
    <w:rsid w:val="007A3ACE"/>
    <w:rsid w:val="007A5207"/>
    <w:rsid w:val="007B322F"/>
    <w:rsid w:val="007B3C5A"/>
    <w:rsid w:val="007B49BB"/>
    <w:rsid w:val="007C3B8F"/>
    <w:rsid w:val="007C3D58"/>
    <w:rsid w:val="007C50E4"/>
    <w:rsid w:val="007D4766"/>
    <w:rsid w:val="007D55B7"/>
    <w:rsid w:val="007D562D"/>
    <w:rsid w:val="007D624C"/>
    <w:rsid w:val="007E2A72"/>
    <w:rsid w:val="007E4563"/>
    <w:rsid w:val="007E71AD"/>
    <w:rsid w:val="007E75D3"/>
    <w:rsid w:val="007F1554"/>
    <w:rsid w:val="008004FC"/>
    <w:rsid w:val="00804F26"/>
    <w:rsid w:val="00807E95"/>
    <w:rsid w:val="00815675"/>
    <w:rsid w:val="00817D31"/>
    <w:rsid w:val="00820978"/>
    <w:rsid w:val="00826104"/>
    <w:rsid w:val="0083184E"/>
    <w:rsid w:val="00837DE4"/>
    <w:rsid w:val="008437B6"/>
    <w:rsid w:val="00845158"/>
    <w:rsid w:val="00847DBE"/>
    <w:rsid w:val="00849550"/>
    <w:rsid w:val="008502BA"/>
    <w:rsid w:val="00850FFF"/>
    <w:rsid w:val="008513CF"/>
    <w:rsid w:val="00853390"/>
    <w:rsid w:val="00853BFA"/>
    <w:rsid w:val="00854E8C"/>
    <w:rsid w:val="0085651C"/>
    <w:rsid w:val="00861633"/>
    <w:rsid w:val="00861784"/>
    <w:rsid w:val="00863B8F"/>
    <w:rsid w:val="00873B02"/>
    <w:rsid w:val="00883286"/>
    <w:rsid w:val="00883879"/>
    <w:rsid w:val="008852BD"/>
    <w:rsid w:val="00885C98"/>
    <w:rsid w:val="00887431"/>
    <w:rsid w:val="00894DD5"/>
    <w:rsid w:val="00896989"/>
    <w:rsid w:val="008A27C1"/>
    <w:rsid w:val="008A5C29"/>
    <w:rsid w:val="008A64EC"/>
    <w:rsid w:val="008A7C1C"/>
    <w:rsid w:val="008C425B"/>
    <w:rsid w:val="008C7DD4"/>
    <w:rsid w:val="008D328A"/>
    <w:rsid w:val="008D457F"/>
    <w:rsid w:val="008D5DB3"/>
    <w:rsid w:val="008D632B"/>
    <w:rsid w:val="008D67E8"/>
    <w:rsid w:val="008D7A4E"/>
    <w:rsid w:val="008E01A4"/>
    <w:rsid w:val="008E2DB0"/>
    <w:rsid w:val="008E4651"/>
    <w:rsid w:val="008E47B3"/>
    <w:rsid w:val="008E5037"/>
    <w:rsid w:val="008E66E1"/>
    <w:rsid w:val="00902802"/>
    <w:rsid w:val="0090603E"/>
    <w:rsid w:val="00906E11"/>
    <w:rsid w:val="0091124A"/>
    <w:rsid w:val="00911ADB"/>
    <w:rsid w:val="00914D35"/>
    <w:rsid w:val="009227C6"/>
    <w:rsid w:val="00926EB9"/>
    <w:rsid w:val="00930D86"/>
    <w:rsid w:val="00934CB2"/>
    <w:rsid w:val="009418CD"/>
    <w:rsid w:val="009501DA"/>
    <w:rsid w:val="00960A8B"/>
    <w:rsid w:val="009631D0"/>
    <w:rsid w:val="00975F24"/>
    <w:rsid w:val="009834E9"/>
    <w:rsid w:val="009873F6"/>
    <w:rsid w:val="0098747D"/>
    <w:rsid w:val="00997CE7"/>
    <w:rsid w:val="009A4270"/>
    <w:rsid w:val="009A6267"/>
    <w:rsid w:val="009B175A"/>
    <w:rsid w:val="009B215F"/>
    <w:rsid w:val="009B2C46"/>
    <w:rsid w:val="009B5AE2"/>
    <w:rsid w:val="009B6BE3"/>
    <w:rsid w:val="009C02D4"/>
    <w:rsid w:val="009C1E4F"/>
    <w:rsid w:val="009C216A"/>
    <w:rsid w:val="009C521B"/>
    <w:rsid w:val="009C6D33"/>
    <w:rsid w:val="009D0517"/>
    <w:rsid w:val="009E00C3"/>
    <w:rsid w:val="009E2C6A"/>
    <w:rsid w:val="009E5CFE"/>
    <w:rsid w:val="009E6CA5"/>
    <w:rsid w:val="00A02B1B"/>
    <w:rsid w:val="00A06A2C"/>
    <w:rsid w:val="00A12782"/>
    <w:rsid w:val="00A15B23"/>
    <w:rsid w:val="00A314A5"/>
    <w:rsid w:val="00A405BC"/>
    <w:rsid w:val="00A4061C"/>
    <w:rsid w:val="00A453AC"/>
    <w:rsid w:val="00A45574"/>
    <w:rsid w:val="00A46B18"/>
    <w:rsid w:val="00A47C5D"/>
    <w:rsid w:val="00A50687"/>
    <w:rsid w:val="00A5126F"/>
    <w:rsid w:val="00A51A8F"/>
    <w:rsid w:val="00A5220F"/>
    <w:rsid w:val="00A536F1"/>
    <w:rsid w:val="00A53E5E"/>
    <w:rsid w:val="00A54317"/>
    <w:rsid w:val="00A56143"/>
    <w:rsid w:val="00A7143C"/>
    <w:rsid w:val="00A91EC6"/>
    <w:rsid w:val="00A951FF"/>
    <w:rsid w:val="00A97C1C"/>
    <w:rsid w:val="00AA34B8"/>
    <w:rsid w:val="00AA7BEB"/>
    <w:rsid w:val="00AB0B06"/>
    <w:rsid w:val="00AB58AB"/>
    <w:rsid w:val="00AB6CEC"/>
    <w:rsid w:val="00AB6CFA"/>
    <w:rsid w:val="00AC1255"/>
    <w:rsid w:val="00AC34AB"/>
    <w:rsid w:val="00AC79BF"/>
    <w:rsid w:val="00AC7A2B"/>
    <w:rsid w:val="00AC7D52"/>
    <w:rsid w:val="00AD0F60"/>
    <w:rsid w:val="00AD351A"/>
    <w:rsid w:val="00AD48C4"/>
    <w:rsid w:val="00AD6E55"/>
    <w:rsid w:val="00AF7D86"/>
    <w:rsid w:val="00B04465"/>
    <w:rsid w:val="00B04802"/>
    <w:rsid w:val="00B04C28"/>
    <w:rsid w:val="00B10772"/>
    <w:rsid w:val="00B133FF"/>
    <w:rsid w:val="00B13DCE"/>
    <w:rsid w:val="00B14E76"/>
    <w:rsid w:val="00B155CE"/>
    <w:rsid w:val="00B1762F"/>
    <w:rsid w:val="00B30746"/>
    <w:rsid w:val="00B32A8A"/>
    <w:rsid w:val="00B34195"/>
    <w:rsid w:val="00B4001A"/>
    <w:rsid w:val="00B52F15"/>
    <w:rsid w:val="00B55D35"/>
    <w:rsid w:val="00B645CA"/>
    <w:rsid w:val="00B66F4B"/>
    <w:rsid w:val="00B7431C"/>
    <w:rsid w:val="00B7CE6D"/>
    <w:rsid w:val="00B82C15"/>
    <w:rsid w:val="00B83138"/>
    <w:rsid w:val="00B83548"/>
    <w:rsid w:val="00B93068"/>
    <w:rsid w:val="00B9682E"/>
    <w:rsid w:val="00B97205"/>
    <w:rsid w:val="00BA0F6C"/>
    <w:rsid w:val="00BA161D"/>
    <w:rsid w:val="00BA7A19"/>
    <w:rsid w:val="00BB02EA"/>
    <w:rsid w:val="00BB66B7"/>
    <w:rsid w:val="00BC23C4"/>
    <w:rsid w:val="00BC491B"/>
    <w:rsid w:val="00BC4A58"/>
    <w:rsid w:val="00BC6A8B"/>
    <w:rsid w:val="00BC7103"/>
    <w:rsid w:val="00BD2F50"/>
    <w:rsid w:val="00BD34A7"/>
    <w:rsid w:val="00BD579E"/>
    <w:rsid w:val="00BD7D0F"/>
    <w:rsid w:val="00BE1567"/>
    <w:rsid w:val="00BE4A05"/>
    <w:rsid w:val="00BF1DBF"/>
    <w:rsid w:val="00C05F93"/>
    <w:rsid w:val="00C15F52"/>
    <w:rsid w:val="00C1779F"/>
    <w:rsid w:val="00C20EB1"/>
    <w:rsid w:val="00C22AB7"/>
    <w:rsid w:val="00C25EA4"/>
    <w:rsid w:val="00C325D6"/>
    <w:rsid w:val="00C4064C"/>
    <w:rsid w:val="00C42B14"/>
    <w:rsid w:val="00C45C1F"/>
    <w:rsid w:val="00C5390A"/>
    <w:rsid w:val="00C55545"/>
    <w:rsid w:val="00C60904"/>
    <w:rsid w:val="00C61D8E"/>
    <w:rsid w:val="00C62FF5"/>
    <w:rsid w:val="00C6396F"/>
    <w:rsid w:val="00C7009F"/>
    <w:rsid w:val="00C7021B"/>
    <w:rsid w:val="00C7645A"/>
    <w:rsid w:val="00C82440"/>
    <w:rsid w:val="00CB413F"/>
    <w:rsid w:val="00CB568F"/>
    <w:rsid w:val="00CC0CC7"/>
    <w:rsid w:val="00CC1819"/>
    <w:rsid w:val="00CD37AD"/>
    <w:rsid w:val="00CE598D"/>
    <w:rsid w:val="00CF415B"/>
    <w:rsid w:val="00CF4EE3"/>
    <w:rsid w:val="00D02819"/>
    <w:rsid w:val="00D03FF8"/>
    <w:rsid w:val="00D11024"/>
    <w:rsid w:val="00D125B5"/>
    <w:rsid w:val="00D1478C"/>
    <w:rsid w:val="00D1626D"/>
    <w:rsid w:val="00D202D0"/>
    <w:rsid w:val="00D265A5"/>
    <w:rsid w:val="00D376F6"/>
    <w:rsid w:val="00D37925"/>
    <w:rsid w:val="00D40673"/>
    <w:rsid w:val="00D415DC"/>
    <w:rsid w:val="00D50BCB"/>
    <w:rsid w:val="00D5187B"/>
    <w:rsid w:val="00D53C4A"/>
    <w:rsid w:val="00D62274"/>
    <w:rsid w:val="00D637E1"/>
    <w:rsid w:val="00D63FE1"/>
    <w:rsid w:val="00D658D0"/>
    <w:rsid w:val="00D71335"/>
    <w:rsid w:val="00D75C9E"/>
    <w:rsid w:val="00D82DB8"/>
    <w:rsid w:val="00D93F5D"/>
    <w:rsid w:val="00D94863"/>
    <w:rsid w:val="00D94912"/>
    <w:rsid w:val="00D97D46"/>
    <w:rsid w:val="00DA0EBF"/>
    <w:rsid w:val="00DA1763"/>
    <w:rsid w:val="00DA19F8"/>
    <w:rsid w:val="00DA29B1"/>
    <w:rsid w:val="00DA6D0B"/>
    <w:rsid w:val="00DB0028"/>
    <w:rsid w:val="00DB2048"/>
    <w:rsid w:val="00DB2F36"/>
    <w:rsid w:val="00DC7164"/>
    <w:rsid w:val="00DD316B"/>
    <w:rsid w:val="00DD4480"/>
    <w:rsid w:val="00DF5627"/>
    <w:rsid w:val="00E0062E"/>
    <w:rsid w:val="00E03005"/>
    <w:rsid w:val="00E0501E"/>
    <w:rsid w:val="00E07EFC"/>
    <w:rsid w:val="00E10360"/>
    <w:rsid w:val="00E16B0E"/>
    <w:rsid w:val="00E17419"/>
    <w:rsid w:val="00E21A95"/>
    <w:rsid w:val="00E31185"/>
    <w:rsid w:val="00E32971"/>
    <w:rsid w:val="00E32A67"/>
    <w:rsid w:val="00E50D6A"/>
    <w:rsid w:val="00E51A9C"/>
    <w:rsid w:val="00E5442E"/>
    <w:rsid w:val="00E54F59"/>
    <w:rsid w:val="00E56737"/>
    <w:rsid w:val="00E677B6"/>
    <w:rsid w:val="00E67D79"/>
    <w:rsid w:val="00E67DCD"/>
    <w:rsid w:val="00E73FF4"/>
    <w:rsid w:val="00E82E44"/>
    <w:rsid w:val="00E8328A"/>
    <w:rsid w:val="00E93DDE"/>
    <w:rsid w:val="00EA20B1"/>
    <w:rsid w:val="00EA549E"/>
    <w:rsid w:val="00EB6D2F"/>
    <w:rsid w:val="00EB6EE8"/>
    <w:rsid w:val="00EC13C1"/>
    <w:rsid w:val="00EC1F47"/>
    <w:rsid w:val="00EC2EDD"/>
    <w:rsid w:val="00EC3ACC"/>
    <w:rsid w:val="00EC509D"/>
    <w:rsid w:val="00ED0595"/>
    <w:rsid w:val="00EE28BF"/>
    <w:rsid w:val="00EE2934"/>
    <w:rsid w:val="00EE356D"/>
    <w:rsid w:val="00EE555F"/>
    <w:rsid w:val="00EE5948"/>
    <w:rsid w:val="00EF198F"/>
    <w:rsid w:val="00EF37DB"/>
    <w:rsid w:val="00EF3A2F"/>
    <w:rsid w:val="00EF3EDC"/>
    <w:rsid w:val="00EF7AFE"/>
    <w:rsid w:val="00EF7DA4"/>
    <w:rsid w:val="00F027DE"/>
    <w:rsid w:val="00F02CBD"/>
    <w:rsid w:val="00F063E9"/>
    <w:rsid w:val="00F342B3"/>
    <w:rsid w:val="00F36952"/>
    <w:rsid w:val="00F410A8"/>
    <w:rsid w:val="00F412D6"/>
    <w:rsid w:val="00F43F57"/>
    <w:rsid w:val="00F45AC3"/>
    <w:rsid w:val="00F530BB"/>
    <w:rsid w:val="00F60FF0"/>
    <w:rsid w:val="00F7002B"/>
    <w:rsid w:val="00F71F6B"/>
    <w:rsid w:val="00F742AF"/>
    <w:rsid w:val="00F747A0"/>
    <w:rsid w:val="00F7760B"/>
    <w:rsid w:val="00F8009F"/>
    <w:rsid w:val="00F829C6"/>
    <w:rsid w:val="00F84F47"/>
    <w:rsid w:val="00F86ACF"/>
    <w:rsid w:val="00F90CB9"/>
    <w:rsid w:val="00F916F2"/>
    <w:rsid w:val="00FA0865"/>
    <w:rsid w:val="00FB0137"/>
    <w:rsid w:val="00FB52F1"/>
    <w:rsid w:val="00FC3149"/>
    <w:rsid w:val="00FD2E3E"/>
    <w:rsid w:val="00FD6673"/>
    <w:rsid w:val="00FE1FF8"/>
    <w:rsid w:val="00FF152C"/>
    <w:rsid w:val="01A99DD0"/>
    <w:rsid w:val="01ADF43D"/>
    <w:rsid w:val="01C8D50B"/>
    <w:rsid w:val="01D69A45"/>
    <w:rsid w:val="01D6D6FD"/>
    <w:rsid w:val="01E3E739"/>
    <w:rsid w:val="01E6469D"/>
    <w:rsid w:val="0220BA05"/>
    <w:rsid w:val="026A28C1"/>
    <w:rsid w:val="026F921C"/>
    <w:rsid w:val="02728533"/>
    <w:rsid w:val="02C4A1B8"/>
    <w:rsid w:val="02D0E784"/>
    <w:rsid w:val="02D26FB4"/>
    <w:rsid w:val="033E0B87"/>
    <w:rsid w:val="03513C22"/>
    <w:rsid w:val="0356A114"/>
    <w:rsid w:val="035DEA19"/>
    <w:rsid w:val="037A7DE3"/>
    <w:rsid w:val="0383D278"/>
    <w:rsid w:val="03B49955"/>
    <w:rsid w:val="03C11D32"/>
    <w:rsid w:val="03F0CBDF"/>
    <w:rsid w:val="041579B9"/>
    <w:rsid w:val="0416EDC3"/>
    <w:rsid w:val="0447A752"/>
    <w:rsid w:val="04664CD0"/>
    <w:rsid w:val="04E89F91"/>
    <w:rsid w:val="050E64E6"/>
    <w:rsid w:val="0545AE82"/>
    <w:rsid w:val="05664D92"/>
    <w:rsid w:val="059949FF"/>
    <w:rsid w:val="05A63D7D"/>
    <w:rsid w:val="05A9F634"/>
    <w:rsid w:val="05D7D697"/>
    <w:rsid w:val="0601246B"/>
    <w:rsid w:val="065A660F"/>
    <w:rsid w:val="066A430C"/>
    <w:rsid w:val="06820ED7"/>
    <w:rsid w:val="069D67AD"/>
    <w:rsid w:val="06A1C7DF"/>
    <w:rsid w:val="06CD57D3"/>
    <w:rsid w:val="0725D031"/>
    <w:rsid w:val="07451A95"/>
    <w:rsid w:val="07C48DFB"/>
    <w:rsid w:val="07F6F6DC"/>
    <w:rsid w:val="07FEEAC3"/>
    <w:rsid w:val="081377DC"/>
    <w:rsid w:val="0817A98E"/>
    <w:rsid w:val="081B716D"/>
    <w:rsid w:val="0823A3E3"/>
    <w:rsid w:val="08338E91"/>
    <w:rsid w:val="08494DEF"/>
    <w:rsid w:val="08CAF878"/>
    <w:rsid w:val="09533AC9"/>
    <w:rsid w:val="09B90FB3"/>
    <w:rsid w:val="09E1040A"/>
    <w:rsid w:val="09F45C3E"/>
    <w:rsid w:val="0A038EC4"/>
    <w:rsid w:val="0A12B490"/>
    <w:rsid w:val="0A2B9715"/>
    <w:rsid w:val="0A408C1D"/>
    <w:rsid w:val="0AA819EB"/>
    <w:rsid w:val="0AA88C3B"/>
    <w:rsid w:val="0AE4EAB8"/>
    <w:rsid w:val="0B0AD45D"/>
    <w:rsid w:val="0B17B177"/>
    <w:rsid w:val="0B1AAEA9"/>
    <w:rsid w:val="0B3B0DBB"/>
    <w:rsid w:val="0B5C89AC"/>
    <w:rsid w:val="0B65CE51"/>
    <w:rsid w:val="0B7024B4"/>
    <w:rsid w:val="0B842106"/>
    <w:rsid w:val="0B968388"/>
    <w:rsid w:val="0B9D6C58"/>
    <w:rsid w:val="0BAF5A13"/>
    <w:rsid w:val="0BC7FBC6"/>
    <w:rsid w:val="0C2690D4"/>
    <w:rsid w:val="0C337000"/>
    <w:rsid w:val="0C56B96A"/>
    <w:rsid w:val="0C686C46"/>
    <w:rsid w:val="0CBF76F8"/>
    <w:rsid w:val="0CEA4167"/>
    <w:rsid w:val="0D6DBB70"/>
    <w:rsid w:val="0DEDB600"/>
    <w:rsid w:val="0E116BBA"/>
    <w:rsid w:val="0E17F026"/>
    <w:rsid w:val="0E223AFB"/>
    <w:rsid w:val="0E48395A"/>
    <w:rsid w:val="0E6934CC"/>
    <w:rsid w:val="0E8BD418"/>
    <w:rsid w:val="0EB327F1"/>
    <w:rsid w:val="0F105179"/>
    <w:rsid w:val="0F1275ED"/>
    <w:rsid w:val="0F277EC4"/>
    <w:rsid w:val="0F2D37D7"/>
    <w:rsid w:val="0F3C99A3"/>
    <w:rsid w:val="0F3FA4A3"/>
    <w:rsid w:val="0F400399"/>
    <w:rsid w:val="0F86A740"/>
    <w:rsid w:val="0F8A0DD2"/>
    <w:rsid w:val="0F8F1AA8"/>
    <w:rsid w:val="0FA1FFAC"/>
    <w:rsid w:val="0FAEA6FC"/>
    <w:rsid w:val="10404090"/>
    <w:rsid w:val="104BFAA3"/>
    <w:rsid w:val="10609932"/>
    <w:rsid w:val="1063930B"/>
    <w:rsid w:val="1066213F"/>
    <w:rsid w:val="10C35A16"/>
    <w:rsid w:val="110C8718"/>
    <w:rsid w:val="11A23BB7"/>
    <w:rsid w:val="11BF30C5"/>
    <w:rsid w:val="11DE8288"/>
    <w:rsid w:val="11EA5993"/>
    <w:rsid w:val="1243229E"/>
    <w:rsid w:val="12598350"/>
    <w:rsid w:val="127125CF"/>
    <w:rsid w:val="129E6037"/>
    <w:rsid w:val="12BAD0C0"/>
    <w:rsid w:val="13020769"/>
    <w:rsid w:val="133875FD"/>
    <w:rsid w:val="13464CD0"/>
    <w:rsid w:val="13A44DD9"/>
    <w:rsid w:val="13A8B49B"/>
    <w:rsid w:val="13BE1748"/>
    <w:rsid w:val="13C3E5B2"/>
    <w:rsid w:val="13D77A19"/>
    <w:rsid w:val="13FAB50D"/>
    <w:rsid w:val="14595545"/>
    <w:rsid w:val="147004A5"/>
    <w:rsid w:val="1473A25D"/>
    <w:rsid w:val="1498CDB2"/>
    <w:rsid w:val="14EAC58D"/>
    <w:rsid w:val="14ED591B"/>
    <w:rsid w:val="1553A1BB"/>
    <w:rsid w:val="1554197E"/>
    <w:rsid w:val="155945F0"/>
    <w:rsid w:val="1580BA5D"/>
    <w:rsid w:val="159CC560"/>
    <w:rsid w:val="15EBD187"/>
    <w:rsid w:val="160153A8"/>
    <w:rsid w:val="1617C59C"/>
    <w:rsid w:val="1639A77D"/>
    <w:rsid w:val="16519685"/>
    <w:rsid w:val="16FDF9D7"/>
    <w:rsid w:val="172C408A"/>
    <w:rsid w:val="172EBD1C"/>
    <w:rsid w:val="17352CDE"/>
    <w:rsid w:val="175620EE"/>
    <w:rsid w:val="17707BC4"/>
    <w:rsid w:val="17A6F31A"/>
    <w:rsid w:val="17DF87BD"/>
    <w:rsid w:val="17EB3F07"/>
    <w:rsid w:val="18020A02"/>
    <w:rsid w:val="181845D0"/>
    <w:rsid w:val="1823DF4B"/>
    <w:rsid w:val="183C3BB8"/>
    <w:rsid w:val="18490116"/>
    <w:rsid w:val="18BBF0B5"/>
    <w:rsid w:val="18BF87BD"/>
    <w:rsid w:val="18C12DA2"/>
    <w:rsid w:val="18CD1087"/>
    <w:rsid w:val="1915E838"/>
    <w:rsid w:val="194A8C16"/>
    <w:rsid w:val="19658D51"/>
    <w:rsid w:val="19D204C4"/>
    <w:rsid w:val="19FD4894"/>
    <w:rsid w:val="1A205529"/>
    <w:rsid w:val="1A989AF6"/>
    <w:rsid w:val="1AC244DC"/>
    <w:rsid w:val="1ADC9417"/>
    <w:rsid w:val="1AE99FEC"/>
    <w:rsid w:val="1B082CB1"/>
    <w:rsid w:val="1B3B7E32"/>
    <w:rsid w:val="1B8063BE"/>
    <w:rsid w:val="1B9860EE"/>
    <w:rsid w:val="1B98C316"/>
    <w:rsid w:val="1BB19F7D"/>
    <w:rsid w:val="1BD6D831"/>
    <w:rsid w:val="1BE0CC58"/>
    <w:rsid w:val="1BE78148"/>
    <w:rsid w:val="1C075DC4"/>
    <w:rsid w:val="1C83D95E"/>
    <w:rsid w:val="1C9C20ED"/>
    <w:rsid w:val="1CADBC04"/>
    <w:rsid w:val="1CEB5B50"/>
    <w:rsid w:val="1CEC0813"/>
    <w:rsid w:val="1CEC5C3E"/>
    <w:rsid w:val="1D29350B"/>
    <w:rsid w:val="1D8B19F1"/>
    <w:rsid w:val="1D8CF0E4"/>
    <w:rsid w:val="1DA3D2A0"/>
    <w:rsid w:val="1DAD2CCC"/>
    <w:rsid w:val="1DC00CD3"/>
    <w:rsid w:val="1DC586D8"/>
    <w:rsid w:val="1DC78DBD"/>
    <w:rsid w:val="1DD8A539"/>
    <w:rsid w:val="1DE2DD99"/>
    <w:rsid w:val="1DF07736"/>
    <w:rsid w:val="1DF1520D"/>
    <w:rsid w:val="1E078D6C"/>
    <w:rsid w:val="1E0E0D07"/>
    <w:rsid w:val="1E324AC5"/>
    <w:rsid w:val="1E4812D5"/>
    <w:rsid w:val="1E816BFD"/>
    <w:rsid w:val="1E82AA4B"/>
    <w:rsid w:val="1E82ADA6"/>
    <w:rsid w:val="1E9792F6"/>
    <w:rsid w:val="1EA0BAD1"/>
    <w:rsid w:val="1EC52FB9"/>
    <w:rsid w:val="1EEA2A8C"/>
    <w:rsid w:val="1F068625"/>
    <w:rsid w:val="1FD6A799"/>
    <w:rsid w:val="2010A0C7"/>
    <w:rsid w:val="203AD9C0"/>
    <w:rsid w:val="205B5D42"/>
    <w:rsid w:val="207D96FF"/>
    <w:rsid w:val="208FF129"/>
    <w:rsid w:val="20B7535B"/>
    <w:rsid w:val="20C5F4D6"/>
    <w:rsid w:val="20E13B69"/>
    <w:rsid w:val="21172B08"/>
    <w:rsid w:val="2123C50E"/>
    <w:rsid w:val="21260105"/>
    <w:rsid w:val="21448FBA"/>
    <w:rsid w:val="21457D37"/>
    <w:rsid w:val="2177282F"/>
    <w:rsid w:val="218E4F23"/>
    <w:rsid w:val="2199A378"/>
    <w:rsid w:val="21B04859"/>
    <w:rsid w:val="21C969ED"/>
    <w:rsid w:val="21E6CC14"/>
    <w:rsid w:val="21ED1052"/>
    <w:rsid w:val="220F18E8"/>
    <w:rsid w:val="2214C111"/>
    <w:rsid w:val="223F46B5"/>
    <w:rsid w:val="224A67BA"/>
    <w:rsid w:val="2251C7A1"/>
    <w:rsid w:val="2292CC8D"/>
    <w:rsid w:val="22A5B5B6"/>
    <w:rsid w:val="22A9AACC"/>
    <w:rsid w:val="22C719BD"/>
    <w:rsid w:val="22FC5A91"/>
    <w:rsid w:val="2319235B"/>
    <w:rsid w:val="23475E6F"/>
    <w:rsid w:val="234D007B"/>
    <w:rsid w:val="2360C484"/>
    <w:rsid w:val="237FE048"/>
    <w:rsid w:val="2381F9DF"/>
    <w:rsid w:val="23847F5B"/>
    <w:rsid w:val="23C84E9F"/>
    <w:rsid w:val="23E47255"/>
    <w:rsid w:val="2433D076"/>
    <w:rsid w:val="24602D8E"/>
    <w:rsid w:val="24AAABCD"/>
    <w:rsid w:val="24AF7EC0"/>
    <w:rsid w:val="24D2CC46"/>
    <w:rsid w:val="24D58E37"/>
    <w:rsid w:val="24EEEBAF"/>
    <w:rsid w:val="252B03C0"/>
    <w:rsid w:val="258A6292"/>
    <w:rsid w:val="2590521F"/>
    <w:rsid w:val="25ECD078"/>
    <w:rsid w:val="25EE879E"/>
    <w:rsid w:val="25EF14AD"/>
    <w:rsid w:val="2607641B"/>
    <w:rsid w:val="2643E6F1"/>
    <w:rsid w:val="265881C0"/>
    <w:rsid w:val="266C5300"/>
    <w:rsid w:val="268999BE"/>
    <w:rsid w:val="26B6695A"/>
    <w:rsid w:val="26CD7BE9"/>
    <w:rsid w:val="273A7FD5"/>
    <w:rsid w:val="2794DD0A"/>
    <w:rsid w:val="27FC5085"/>
    <w:rsid w:val="2807A9C1"/>
    <w:rsid w:val="28268C43"/>
    <w:rsid w:val="284BFD72"/>
    <w:rsid w:val="287348E9"/>
    <w:rsid w:val="287BCF7B"/>
    <w:rsid w:val="2883DDA9"/>
    <w:rsid w:val="28EBD73E"/>
    <w:rsid w:val="28F1E18E"/>
    <w:rsid w:val="28FEEBDF"/>
    <w:rsid w:val="2909725B"/>
    <w:rsid w:val="2937A11D"/>
    <w:rsid w:val="29537FAB"/>
    <w:rsid w:val="297BB04A"/>
    <w:rsid w:val="29B069D4"/>
    <w:rsid w:val="2A29DD1E"/>
    <w:rsid w:val="2A2D3DA7"/>
    <w:rsid w:val="2A351EF9"/>
    <w:rsid w:val="2A47EC8C"/>
    <w:rsid w:val="2A52F77A"/>
    <w:rsid w:val="2AE1B4C4"/>
    <w:rsid w:val="2AFF0B63"/>
    <w:rsid w:val="2B6DA13E"/>
    <w:rsid w:val="2B8B997A"/>
    <w:rsid w:val="2B8E47E2"/>
    <w:rsid w:val="2B9C0256"/>
    <w:rsid w:val="2BD4F53B"/>
    <w:rsid w:val="2C93376D"/>
    <w:rsid w:val="2CAA277C"/>
    <w:rsid w:val="2CBD2E7F"/>
    <w:rsid w:val="2CDB9017"/>
    <w:rsid w:val="2CF1E946"/>
    <w:rsid w:val="2D0D4244"/>
    <w:rsid w:val="2D1102AE"/>
    <w:rsid w:val="2D1F5B09"/>
    <w:rsid w:val="2D3AA60E"/>
    <w:rsid w:val="2D54F916"/>
    <w:rsid w:val="2D5677E4"/>
    <w:rsid w:val="2D9A5507"/>
    <w:rsid w:val="2DAEB4AD"/>
    <w:rsid w:val="2DBEAB4A"/>
    <w:rsid w:val="2E5F660D"/>
    <w:rsid w:val="2E63AD23"/>
    <w:rsid w:val="2E980B83"/>
    <w:rsid w:val="2EB4436F"/>
    <w:rsid w:val="2EB909EF"/>
    <w:rsid w:val="2EDC713D"/>
    <w:rsid w:val="2EF1690C"/>
    <w:rsid w:val="2F3FE9DD"/>
    <w:rsid w:val="2F4E7DB6"/>
    <w:rsid w:val="2F4EBDB6"/>
    <w:rsid w:val="2F73C837"/>
    <w:rsid w:val="2F85C226"/>
    <w:rsid w:val="2F898344"/>
    <w:rsid w:val="2F8CD1D6"/>
    <w:rsid w:val="2F95BB9D"/>
    <w:rsid w:val="2FF09CE5"/>
    <w:rsid w:val="30024C71"/>
    <w:rsid w:val="300AF157"/>
    <w:rsid w:val="306061BC"/>
    <w:rsid w:val="30AC4024"/>
    <w:rsid w:val="31041B04"/>
    <w:rsid w:val="31390B78"/>
    <w:rsid w:val="313CF9BC"/>
    <w:rsid w:val="31441561"/>
    <w:rsid w:val="3151B5AF"/>
    <w:rsid w:val="316491FA"/>
    <w:rsid w:val="316AE31D"/>
    <w:rsid w:val="319AF487"/>
    <w:rsid w:val="31C09F2F"/>
    <w:rsid w:val="32204B68"/>
    <w:rsid w:val="322560DA"/>
    <w:rsid w:val="322F445A"/>
    <w:rsid w:val="324A7D3E"/>
    <w:rsid w:val="3255488D"/>
    <w:rsid w:val="3260D4E3"/>
    <w:rsid w:val="32743B89"/>
    <w:rsid w:val="329640F6"/>
    <w:rsid w:val="329891CE"/>
    <w:rsid w:val="32B26672"/>
    <w:rsid w:val="32C67DAF"/>
    <w:rsid w:val="333701B3"/>
    <w:rsid w:val="33D1BF53"/>
    <w:rsid w:val="34096C0E"/>
    <w:rsid w:val="343CFADD"/>
    <w:rsid w:val="3450AD29"/>
    <w:rsid w:val="34892A2D"/>
    <w:rsid w:val="34A1CC05"/>
    <w:rsid w:val="34F5870F"/>
    <w:rsid w:val="35099AAD"/>
    <w:rsid w:val="350A2ECC"/>
    <w:rsid w:val="350BC00A"/>
    <w:rsid w:val="35237504"/>
    <w:rsid w:val="35240767"/>
    <w:rsid w:val="3528B589"/>
    <w:rsid w:val="3557B01A"/>
    <w:rsid w:val="35F906F1"/>
    <w:rsid w:val="3619C927"/>
    <w:rsid w:val="3631B748"/>
    <w:rsid w:val="36706E63"/>
    <w:rsid w:val="367A1821"/>
    <w:rsid w:val="371F3947"/>
    <w:rsid w:val="3740E771"/>
    <w:rsid w:val="379E91D9"/>
    <w:rsid w:val="379EBFBE"/>
    <w:rsid w:val="37B6B841"/>
    <w:rsid w:val="37BC1E98"/>
    <w:rsid w:val="37D63DC9"/>
    <w:rsid w:val="37E26136"/>
    <w:rsid w:val="37F51E35"/>
    <w:rsid w:val="37FC3EDE"/>
    <w:rsid w:val="380424CE"/>
    <w:rsid w:val="38150BCC"/>
    <w:rsid w:val="38151DE2"/>
    <w:rsid w:val="38351D79"/>
    <w:rsid w:val="386E31EB"/>
    <w:rsid w:val="38A52BB1"/>
    <w:rsid w:val="38D631BC"/>
    <w:rsid w:val="38DEE6D7"/>
    <w:rsid w:val="39072DB9"/>
    <w:rsid w:val="3915242A"/>
    <w:rsid w:val="39433502"/>
    <w:rsid w:val="3993ED29"/>
    <w:rsid w:val="39C3A45A"/>
    <w:rsid w:val="39FA69BD"/>
    <w:rsid w:val="3A030FCA"/>
    <w:rsid w:val="3A0CE332"/>
    <w:rsid w:val="3A1D46ED"/>
    <w:rsid w:val="3A35A09F"/>
    <w:rsid w:val="3A679C36"/>
    <w:rsid w:val="3ADA666E"/>
    <w:rsid w:val="3ADE8217"/>
    <w:rsid w:val="3B225E5C"/>
    <w:rsid w:val="3B322DE3"/>
    <w:rsid w:val="3B38A583"/>
    <w:rsid w:val="3B539B6D"/>
    <w:rsid w:val="3BECE698"/>
    <w:rsid w:val="3BFF535A"/>
    <w:rsid w:val="3C2D5F25"/>
    <w:rsid w:val="3C4C1B1C"/>
    <w:rsid w:val="3C6F1334"/>
    <w:rsid w:val="3C8D5C9A"/>
    <w:rsid w:val="3CCAED0F"/>
    <w:rsid w:val="3CF21704"/>
    <w:rsid w:val="3CF7451A"/>
    <w:rsid w:val="3D01F099"/>
    <w:rsid w:val="3D54D384"/>
    <w:rsid w:val="3D6289D0"/>
    <w:rsid w:val="3D6AC44E"/>
    <w:rsid w:val="3D70B130"/>
    <w:rsid w:val="3D73FB40"/>
    <w:rsid w:val="3D9F2B11"/>
    <w:rsid w:val="3DCE1D0C"/>
    <w:rsid w:val="3DD6FD5E"/>
    <w:rsid w:val="3E1B6372"/>
    <w:rsid w:val="3E45484E"/>
    <w:rsid w:val="3E69A364"/>
    <w:rsid w:val="3EA27A2D"/>
    <w:rsid w:val="3EAAB45C"/>
    <w:rsid w:val="3F590375"/>
    <w:rsid w:val="3FB9564C"/>
    <w:rsid w:val="3FDB53AB"/>
    <w:rsid w:val="3FE9B2A1"/>
    <w:rsid w:val="3FED9F67"/>
    <w:rsid w:val="403420CC"/>
    <w:rsid w:val="405CEEC9"/>
    <w:rsid w:val="4069465B"/>
    <w:rsid w:val="409FC422"/>
    <w:rsid w:val="40C28BCE"/>
    <w:rsid w:val="40C28ECF"/>
    <w:rsid w:val="40EE9F9A"/>
    <w:rsid w:val="40F74555"/>
    <w:rsid w:val="4130C58D"/>
    <w:rsid w:val="4185DBDE"/>
    <w:rsid w:val="41A2087F"/>
    <w:rsid w:val="41D6CC85"/>
    <w:rsid w:val="41F2E6A9"/>
    <w:rsid w:val="42070DE0"/>
    <w:rsid w:val="426627AB"/>
    <w:rsid w:val="42708186"/>
    <w:rsid w:val="427FB1A0"/>
    <w:rsid w:val="42B6BF7E"/>
    <w:rsid w:val="42B8E95E"/>
    <w:rsid w:val="42C83693"/>
    <w:rsid w:val="430348DD"/>
    <w:rsid w:val="43821842"/>
    <w:rsid w:val="439E7BCD"/>
    <w:rsid w:val="43D1BF71"/>
    <w:rsid w:val="43E22FDA"/>
    <w:rsid w:val="43F87155"/>
    <w:rsid w:val="440B6FC8"/>
    <w:rsid w:val="44194CBE"/>
    <w:rsid w:val="4491E6FF"/>
    <w:rsid w:val="44B01A08"/>
    <w:rsid w:val="44E91C64"/>
    <w:rsid w:val="45210330"/>
    <w:rsid w:val="453AD32B"/>
    <w:rsid w:val="456FB4F8"/>
    <w:rsid w:val="45B0AECE"/>
    <w:rsid w:val="45B7A379"/>
    <w:rsid w:val="46F1EBBE"/>
    <w:rsid w:val="472A99D4"/>
    <w:rsid w:val="4753CEB2"/>
    <w:rsid w:val="475C6A52"/>
    <w:rsid w:val="4765CFB7"/>
    <w:rsid w:val="47B08794"/>
    <w:rsid w:val="4807C541"/>
    <w:rsid w:val="481753CF"/>
    <w:rsid w:val="482117E6"/>
    <w:rsid w:val="48288E51"/>
    <w:rsid w:val="4889A342"/>
    <w:rsid w:val="4890B14A"/>
    <w:rsid w:val="48A8B989"/>
    <w:rsid w:val="48B0A0C4"/>
    <w:rsid w:val="48C09A83"/>
    <w:rsid w:val="48CCBA4D"/>
    <w:rsid w:val="490E23CF"/>
    <w:rsid w:val="4954ED9D"/>
    <w:rsid w:val="4965AA46"/>
    <w:rsid w:val="49847552"/>
    <w:rsid w:val="49995BD0"/>
    <w:rsid w:val="49B46001"/>
    <w:rsid w:val="49BED767"/>
    <w:rsid w:val="4A298446"/>
    <w:rsid w:val="4A29C005"/>
    <w:rsid w:val="4A2B4C69"/>
    <w:rsid w:val="4A96227C"/>
    <w:rsid w:val="4AA1C94A"/>
    <w:rsid w:val="4AA34116"/>
    <w:rsid w:val="4AA48BC7"/>
    <w:rsid w:val="4AABDE46"/>
    <w:rsid w:val="4AACAC15"/>
    <w:rsid w:val="4AB64C2B"/>
    <w:rsid w:val="4ADA5F78"/>
    <w:rsid w:val="4AF687C0"/>
    <w:rsid w:val="4B29AD52"/>
    <w:rsid w:val="4B4AB7FF"/>
    <w:rsid w:val="4B97A8F8"/>
    <w:rsid w:val="4BEA94F4"/>
    <w:rsid w:val="4BFB3305"/>
    <w:rsid w:val="4BFC1FEB"/>
    <w:rsid w:val="4C14B963"/>
    <w:rsid w:val="4C90E3DD"/>
    <w:rsid w:val="4CB37C3C"/>
    <w:rsid w:val="4CD7B021"/>
    <w:rsid w:val="4CDCF498"/>
    <w:rsid w:val="4D1EF674"/>
    <w:rsid w:val="4D6DCF9C"/>
    <w:rsid w:val="4D98EC0C"/>
    <w:rsid w:val="4DC172D7"/>
    <w:rsid w:val="4DC1C880"/>
    <w:rsid w:val="4DC3A1A0"/>
    <w:rsid w:val="4DC4A39B"/>
    <w:rsid w:val="4DE15FD6"/>
    <w:rsid w:val="4E20B0E6"/>
    <w:rsid w:val="4E5DBF61"/>
    <w:rsid w:val="4E70A27A"/>
    <w:rsid w:val="4E7206F6"/>
    <w:rsid w:val="4E84F654"/>
    <w:rsid w:val="4E961102"/>
    <w:rsid w:val="4EA015B9"/>
    <w:rsid w:val="4EB0FE08"/>
    <w:rsid w:val="4EBEE02C"/>
    <w:rsid w:val="4EDD85A2"/>
    <w:rsid w:val="4F2EA291"/>
    <w:rsid w:val="4F75C4F4"/>
    <w:rsid w:val="50263A50"/>
    <w:rsid w:val="5091FB1C"/>
    <w:rsid w:val="5096EFF3"/>
    <w:rsid w:val="511F92F6"/>
    <w:rsid w:val="512552AE"/>
    <w:rsid w:val="512649FD"/>
    <w:rsid w:val="513F761A"/>
    <w:rsid w:val="516F8ACB"/>
    <w:rsid w:val="51786D79"/>
    <w:rsid w:val="52370C03"/>
    <w:rsid w:val="5245B17D"/>
    <w:rsid w:val="524AE935"/>
    <w:rsid w:val="524DD0F2"/>
    <w:rsid w:val="526D4840"/>
    <w:rsid w:val="5297DEAB"/>
    <w:rsid w:val="52B8984D"/>
    <w:rsid w:val="52C5BE3A"/>
    <w:rsid w:val="5316BD21"/>
    <w:rsid w:val="53421E1F"/>
    <w:rsid w:val="53CDA46F"/>
    <w:rsid w:val="53E4AD94"/>
    <w:rsid w:val="53EF88B6"/>
    <w:rsid w:val="54077231"/>
    <w:rsid w:val="54665A5A"/>
    <w:rsid w:val="546B0823"/>
    <w:rsid w:val="54734CCC"/>
    <w:rsid w:val="548F8A5B"/>
    <w:rsid w:val="54C063C2"/>
    <w:rsid w:val="54E0DD72"/>
    <w:rsid w:val="553E27BD"/>
    <w:rsid w:val="5541BE9C"/>
    <w:rsid w:val="555E28D2"/>
    <w:rsid w:val="55634B0A"/>
    <w:rsid w:val="56132001"/>
    <w:rsid w:val="566D6210"/>
    <w:rsid w:val="56CDC1D2"/>
    <w:rsid w:val="56DDABBA"/>
    <w:rsid w:val="56F572F8"/>
    <w:rsid w:val="57328E18"/>
    <w:rsid w:val="57345439"/>
    <w:rsid w:val="575F4339"/>
    <w:rsid w:val="5788C994"/>
    <w:rsid w:val="57F91BAA"/>
    <w:rsid w:val="5800063B"/>
    <w:rsid w:val="582C0D21"/>
    <w:rsid w:val="5841AB4F"/>
    <w:rsid w:val="5859E165"/>
    <w:rsid w:val="58AFCB15"/>
    <w:rsid w:val="58C07F71"/>
    <w:rsid w:val="58FCB676"/>
    <w:rsid w:val="5955D139"/>
    <w:rsid w:val="5957FE66"/>
    <w:rsid w:val="59AD990B"/>
    <w:rsid w:val="59E004A0"/>
    <w:rsid w:val="5A262E0E"/>
    <w:rsid w:val="5A4BB5DC"/>
    <w:rsid w:val="5A5091C6"/>
    <w:rsid w:val="5A851606"/>
    <w:rsid w:val="5AE646DC"/>
    <w:rsid w:val="5B6D1E8D"/>
    <w:rsid w:val="5B786518"/>
    <w:rsid w:val="5B7EEAEC"/>
    <w:rsid w:val="5B880080"/>
    <w:rsid w:val="5BB598DB"/>
    <w:rsid w:val="5BDD7826"/>
    <w:rsid w:val="5BFCCEF8"/>
    <w:rsid w:val="5C4E4F69"/>
    <w:rsid w:val="5C51658B"/>
    <w:rsid w:val="5C633DC7"/>
    <w:rsid w:val="5C93C9A8"/>
    <w:rsid w:val="5C99BD3F"/>
    <w:rsid w:val="5CB8A944"/>
    <w:rsid w:val="5CEFDEDB"/>
    <w:rsid w:val="5D1BE240"/>
    <w:rsid w:val="5D52516B"/>
    <w:rsid w:val="5D657B21"/>
    <w:rsid w:val="5D777B8E"/>
    <w:rsid w:val="5D87317E"/>
    <w:rsid w:val="5DA0E793"/>
    <w:rsid w:val="5DDCB878"/>
    <w:rsid w:val="5E25108F"/>
    <w:rsid w:val="5E372518"/>
    <w:rsid w:val="5E9B2B5F"/>
    <w:rsid w:val="5EA513E4"/>
    <w:rsid w:val="5EB21DC3"/>
    <w:rsid w:val="5F229780"/>
    <w:rsid w:val="5F4BAADD"/>
    <w:rsid w:val="5F50A614"/>
    <w:rsid w:val="5F9F5341"/>
    <w:rsid w:val="5FD50A5B"/>
    <w:rsid w:val="6011B0A6"/>
    <w:rsid w:val="6040C387"/>
    <w:rsid w:val="604807BC"/>
    <w:rsid w:val="605FDCEB"/>
    <w:rsid w:val="60B5A328"/>
    <w:rsid w:val="60BAC98F"/>
    <w:rsid w:val="60C774D5"/>
    <w:rsid w:val="60D43A4B"/>
    <w:rsid w:val="60F18AA0"/>
    <w:rsid w:val="6126E4D0"/>
    <w:rsid w:val="614A8636"/>
    <w:rsid w:val="614CB52D"/>
    <w:rsid w:val="61663D2B"/>
    <w:rsid w:val="61912F50"/>
    <w:rsid w:val="61CEE847"/>
    <w:rsid w:val="621114CE"/>
    <w:rsid w:val="6221A6B3"/>
    <w:rsid w:val="6230EE73"/>
    <w:rsid w:val="6237EB6F"/>
    <w:rsid w:val="625F37BF"/>
    <w:rsid w:val="626A48B2"/>
    <w:rsid w:val="627989A4"/>
    <w:rsid w:val="628F27CC"/>
    <w:rsid w:val="62CC5FA2"/>
    <w:rsid w:val="62CDED0C"/>
    <w:rsid w:val="62D8C0E9"/>
    <w:rsid w:val="63257564"/>
    <w:rsid w:val="6375B82F"/>
    <w:rsid w:val="637AB6E7"/>
    <w:rsid w:val="63A088B0"/>
    <w:rsid w:val="63CE6776"/>
    <w:rsid w:val="63D0B19B"/>
    <w:rsid w:val="63D1368D"/>
    <w:rsid w:val="6413FE1C"/>
    <w:rsid w:val="642BD3B7"/>
    <w:rsid w:val="646F5794"/>
    <w:rsid w:val="64863A2E"/>
    <w:rsid w:val="653AD39C"/>
    <w:rsid w:val="6589A662"/>
    <w:rsid w:val="65C75959"/>
    <w:rsid w:val="65F8C8F8"/>
    <w:rsid w:val="65FE1ED3"/>
    <w:rsid w:val="660D2D87"/>
    <w:rsid w:val="66129A33"/>
    <w:rsid w:val="661D0751"/>
    <w:rsid w:val="663D5306"/>
    <w:rsid w:val="6679BA7D"/>
    <w:rsid w:val="667D5628"/>
    <w:rsid w:val="66923D3A"/>
    <w:rsid w:val="66B5A477"/>
    <w:rsid w:val="66C9FEC3"/>
    <w:rsid w:val="66CB45E1"/>
    <w:rsid w:val="66CF65DA"/>
    <w:rsid w:val="66D97F5D"/>
    <w:rsid w:val="66E9380A"/>
    <w:rsid w:val="6716C770"/>
    <w:rsid w:val="67A1F200"/>
    <w:rsid w:val="67B5320F"/>
    <w:rsid w:val="67DB4A61"/>
    <w:rsid w:val="67F8314C"/>
    <w:rsid w:val="67FA4775"/>
    <w:rsid w:val="6873D4E3"/>
    <w:rsid w:val="68F30A94"/>
    <w:rsid w:val="68F3B2BB"/>
    <w:rsid w:val="690D5797"/>
    <w:rsid w:val="693FBB64"/>
    <w:rsid w:val="694A2CA4"/>
    <w:rsid w:val="697217CE"/>
    <w:rsid w:val="697AF1EC"/>
    <w:rsid w:val="698BD058"/>
    <w:rsid w:val="699075DB"/>
    <w:rsid w:val="699C4D92"/>
    <w:rsid w:val="699E463A"/>
    <w:rsid w:val="69DD9AA3"/>
    <w:rsid w:val="6A126D3E"/>
    <w:rsid w:val="6A262995"/>
    <w:rsid w:val="6A3B78B2"/>
    <w:rsid w:val="6B08F9BA"/>
    <w:rsid w:val="6B2E8332"/>
    <w:rsid w:val="6B9BFD1F"/>
    <w:rsid w:val="6BC2FDFA"/>
    <w:rsid w:val="6C2C58A1"/>
    <w:rsid w:val="6C9CD379"/>
    <w:rsid w:val="6CBD2C3B"/>
    <w:rsid w:val="6CBD3DE4"/>
    <w:rsid w:val="6CC10C16"/>
    <w:rsid w:val="6D0D23CD"/>
    <w:rsid w:val="6D616D2B"/>
    <w:rsid w:val="6D86CF4A"/>
    <w:rsid w:val="6DBC6249"/>
    <w:rsid w:val="6DE0088D"/>
    <w:rsid w:val="6DE39DE4"/>
    <w:rsid w:val="6E71DC90"/>
    <w:rsid w:val="6E74362B"/>
    <w:rsid w:val="6EBF049E"/>
    <w:rsid w:val="6EC6B9D3"/>
    <w:rsid w:val="6EC70117"/>
    <w:rsid w:val="6ECA8267"/>
    <w:rsid w:val="6F205C07"/>
    <w:rsid w:val="6F40E72F"/>
    <w:rsid w:val="6F446EB7"/>
    <w:rsid w:val="6F531209"/>
    <w:rsid w:val="6F9A3138"/>
    <w:rsid w:val="6F9FDDC1"/>
    <w:rsid w:val="6FC9354B"/>
    <w:rsid w:val="6FC98B7E"/>
    <w:rsid w:val="6FED0869"/>
    <w:rsid w:val="7022DC0C"/>
    <w:rsid w:val="70400A2D"/>
    <w:rsid w:val="705A87C2"/>
    <w:rsid w:val="7072C0D6"/>
    <w:rsid w:val="712874C0"/>
    <w:rsid w:val="714C6EC6"/>
    <w:rsid w:val="7171B8C6"/>
    <w:rsid w:val="717B8DE8"/>
    <w:rsid w:val="717E7AD1"/>
    <w:rsid w:val="71B3D8FD"/>
    <w:rsid w:val="71CC3573"/>
    <w:rsid w:val="71FCF21F"/>
    <w:rsid w:val="726829EC"/>
    <w:rsid w:val="72BE2A64"/>
    <w:rsid w:val="72F80ADA"/>
    <w:rsid w:val="72FBADD6"/>
    <w:rsid w:val="7314D002"/>
    <w:rsid w:val="7332B654"/>
    <w:rsid w:val="73398505"/>
    <w:rsid w:val="73422B04"/>
    <w:rsid w:val="736FC783"/>
    <w:rsid w:val="73AAF079"/>
    <w:rsid w:val="73BE8DEC"/>
    <w:rsid w:val="73D17C39"/>
    <w:rsid w:val="73DCEA8E"/>
    <w:rsid w:val="73E13126"/>
    <w:rsid w:val="7552A233"/>
    <w:rsid w:val="756A3B93"/>
    <w:rsid w:val="75893282"/>
    <w:rsid w:val="7630210A"/>
    <w:rsid w:val="76382180"/>
    <w:rsid w:val="7660B482"/>
    <w:rsid w:val="76A51189"/>
    <w:rsid w:val="76D63729"/>
    <w:rsid w:val="76E9A469"/>
    <w:rsid w:val="76F47356"/>
    <w:rsid w:val="76F6AE3C"/>
    <w:rsid w:val="76FBD052"/>
    <w:rsid w:val="770438E3"/>
    <w:rsid w:val="771555F5"/>
    <w:rsid w:val="7759066B"/>
    <w:rsid w:val="77A345DB"/>
    <w:rsid w:val="77BC3D2A"/>
    <w:rsid w:val="77C4E105"/>
    <w:rsid w:val="77D5C2BA"/>
    <w:rsid w:val="77D9191F"/>
    <w:rsid w:val="782C8557"/>
    <w:rsid w:val="783DB907"/>
    <w:rsid w:val="786357D7"/>
    <w:rsid w:val="78C75E42"/>
    <w:rsid w:val="78FDF284"/>
    <w:rsid w:val="794230A6"/>
    <w:rsid w:val="795AE9CA"/>
    <w:rsid w:val="796C5A61"/>
    <w:rsid w:val="79759470"/>
    <w:rsid w:val="79952D32"/>
    <w:rsid w:val="79A8CC9E"/>
    <w:rsid w:val="79B0A413"/>
    <w:rsid w:val="79CA3199"/>
    <w:rsid w:val="79EE7497"/>
    <w:rsid w:val="7A014E13"/>
    <w:rsid w:val="7A3B3176"/>
    <w:rsid w:val="7A51216C"/>
    <w:rsid w:val="7AF31FDE"/>
    <w:rsid w:val="7B3A7AEF"/>
    <w:rsid w:val="7B40EBC9"/>
    <w:rsid w:val="7B48E851"/>
    <w:rsid w:val="7B87115D"/>
    <w:rsid w:val="7BA6B6A5"/>
    <w:rsid w:val="7BDF53D4"/>
    <w:rsid w:val="7BE07C13"/>
    <w:rsid w:val="7BE6EBEF"/>
    <w:rsid w:val="7C105421"/>
    <w:rsid w:val="7C5BA2AD"/>
    <w:rsid w:val="7C9B78B9"/>
    <w:rsid w:val="7CAA1244"/>
    <w:rsid w:val="7D233E21"/>
    <w:rsid w:val="7D527A30"/>
    <w:rsid w:val="7D6861E4"/>
    <w:rsid w:val="7D795BEB"/>
    <w:rsid w:val="7D896885"/>
    <w:rsid w:val="7DC8CB2D"/>
    <w:rsid w:val="7DC98F47"/>
    <w:rsid w:val="7DF34C49"/>
    <w:rsid w:val="7E9CF118"/>
    <w:rsid w:val="7EDA22CE"/>
    <w:rsid w:val="7EDDC376"/>
    <w:rsid w:val="7F31E4D3"/>
    <w:rsid w:val="7F5BAB2F"/>
    <w:rsid w:val="7F85F666"/>
    <w:rsid w:val="7F9FCFB9"/>
    <w:rsid w:val="7FE59C90"/>
    <w:rsid w:val="7FEADF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036B7"/>
  <w15:chartTrackingRefBased/>
  <w15:docId w15:val="{12DFBDF6-DC1A-4D15-98B9-81168DD55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2D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3B76BF"/>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3B76BF"/>
    <w:rPr>
      <w:rFonts w:ascii="Times New Roman" w:hAnsi="Times New Roman"/>
      <w:sz w:val="20"/>
      <w:szCs w:val="20"/>
    </w:rPr>
  </w:style>
  <w:style w:type="paragraph" w:styleId="NormalWeb">
    <w:name w:val="Normal (Web)"/>
    <w:basedOn w:val="Normal"/>
    <w:uiPriority w:val="99"/>
    <w:semiHidden/>
    <w:unhideWhenUsed/>
    <w:rsid w:val="003B76BF"/>
    <w:rPr>
      <w:rFonts w:cs="Times New Roman"/>
      <w:szCs w:val="24"/>
    </w:rPr>
  </w:style>
  <w:style w:type="character" w:styleId="FootnoteReference">
    <w:name w:val="footnote reference"/>
    <w:uiPriority w:val="99"/>
    <w:unhideWhenUsed/>
    <w:rsid w:val="003B76BF"/>
    <w:rPr>
      <w:vertAlign w:val="superscript"/>
    </w:rPr>
  </w:style>
  <w:style w:type="character" w:customStyle="1" w:styleId="FootnoteCharacters">
    <w:name w:val="Footnote Characters"/>
    <w:rsid w:val="003B76BF"/>
    <w:rPr>
      <w:vertAlign w:val="superscript"/>
    </w:rPr>
  </w:style>
  <w:style w:type="character" w:styleId="Hyperlink">
    <w:name w:val="Hyperlink"/>
    <w:uiPriority w:val="99"/>
    <w:unhideWhenUsed/>
    <w:rsid w:val="003B76BF"/>
    <w:rPr>
      <w:color w:val="0000FF"/>
      <w:u w:val="single"/>
    </w:rPr>
  </w:style>
  <w:style w:type="paragraph" w:styleId="Header">
    <w:name w:val="header"/>
    <w:basedOn w:val="Normal"/>
    <w:link w:val="HeaderChar"/>
    <w:uiPriority w:val="99"/>
    <w:unhideWhenUsed/>
    <w:rsid w:val="003B76BF"/>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3B76BF"/>
  </w:style>
  <w:style w:type="paragraph" w:styleId="Footer">
    <w:name w:val="footer"/>
    <w:basedOn w:val="Normal"/>
    <w:link w:val="FooterChar"/>
    <w:uiPriority w:val="99"/>
    <w:unhideWhenUsed/>
    <w:rsid w:val="003B76BF"/>
    <w:pPr>
      <w:tabs>
        <w:tab w:val="center" w:pos="4680"/>
        <w:tab w:val="right" w:pos="936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3B76BF"/>
  </w:style>
  <w:style w:type="character" w:styleId="CommentReference">
    <w:name w:val="annotation reference"/>
    <w:basedOn w:val="DefaultParagraphFont"/>
    <w:uiPriority w:val="99"/>
    <w:semiHidden/>
    <w:unhideWhenUsed/>
    <w:rsid w:val="003B76BF"/>
    <w:rPr>
      <w:sz w:val="16"/>
      <w:szCs w:val="16"/>
    </w:rPr>
  </w:style>
  <w:style w:type="paragraph" w:styleId="CommentText">
    <w:name w:val="annotation text"/>
    <w:basedOn w:val="Normal"/>
    <w:link w:val="CommentTextChar"/>
    <w:uiPriority w:val="99"/>
    <w:unhideWhenUsed/>
    <w:rsid w:val="003B76BF"/>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3B76BF"/>
    <w:rPr>
      <w:sz w:val="20"/>
      <w:szCs w:val="20"/>
    </w:rPr>
  </w:style>
  <w:style w:type="paragraph" w:styleId="BalloonText">
    <w:name w:val="Balloon Text"/>
    <w:basedOn w:val="Normal"/>
    <w:link w:val="BalloonTextChar"/>
    <w:uiPriority w:val="99"/>
    <w:semiHidden/>
    <w:unhideWhenUsed/>
    <w:rsid w:val="003B7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6BF"/>
    <w:rPr>
      <w:rFonts w:ascii="Segoe UI" w:hAnsi="Segoe UI" w:cs="Segoe UI"/>
      <w:sz w:val="18"/>
      <w:szCs w:val="18"/>
    </w:rPr>
  </w:style>
  <w:style w:type="character" w:styleId="LineNumber">
    <w:name w:val="line number"/>
    <w:basedOn w:val="DefaultParagraphFont"/>
    <w:uiPriority w:val="99"/>
    <w:semiHidden/>
    <w:unhideWhenUsed/>
    <w:rsid w:val="00C42B14"/>
  </w:style>
  <w:style w:type="paragraph" w:styleId="CommentSubject">
    <w:name w:val="annotation subject"/>
    <w:basedOn w:val="CommentText"/>
    <w:next w:val="CommentText"/>
    <w:link w:val="CommentSubjectChar"/>
    <w:uiPriority w:val="99"/>
    <w:semiHidden/>
    <w:unhideWhenUsed/>
    <w:rsid w:val="00FD6673"/>
    <w:rPr>
      <w:rFonts w:ascii="Times New Roman" w:hAnsi="Times New Roman"/>
      <w:b/>
      <w:bCs/>
    </w:rPr>
  </w:style>
  <w:style w:type="character" w:customStyle="1" w:styleId="CommentSubjectChar">
    <w:name w:val="Comment Subject Char"/>
    <w:basedOn w:val="CommentTextChar"/>
    <w:link w:val="CommentSubject"/>
    <w:uiPriority w:val="99"/>
    <w:semiHidden/>
    <w:rsid w:val="00FD6673"/>
    <w:rPr>
      <w:rFonts w:ascii="Times New Roman" w:hAnsi="Times New Roman"/>
      <w:b/>
      <w:bCs/>
      <w:sz w:val="20"/>
      <w:szCs w:val="20"/>
    </w:rPr>
  </w:style>
  <w:style w:type="paragraph" w:styleId="ListParagraph">
    <w:name w:val="List Paragraph"/>
    <w:basedOn w:val="Normal"/>
    <w:uiPriority w:val="34"/>
    <w:qFormat/>
    <w:rsid w:val="00EC1F47"/>
    <w:pPr>
      <w:suppressAutoHyphens/>
      <w:spacing w:after="200" w:line="276" w:lineRule="auto"/>
      <w:ind w:left="720"/>
      <w:contextualSpacing/>
    </w:pPr>
    <w:rPr>
      <w:rFonts w:ascii="Calibri" w:eastAsia="Calibri" w:hAnsi="Calibri" w:cs="Times New Roman"/>
      <w:sz w:val="22"/>
      <w:lang w:eastAsia="zh-CN"/>
    </w:rPr>
  </w:style>
  <w:style w:type="paragraph" w:styleId="Revision">
    <w:name w:val="Revision"/>
    <w:hidden/>
    <w:uiPriority w:val="99"/>
    <w:semiHidden/>
    <w:rsid w:val="0048589F"/>
    <w:pPr>
      <w:spacing w:after="0" w:line="240" w:lineRule="auto"/>
    </w:pPr>
    <w:rPr>
      <w:rFonts w:ascii="Times New Roman" w:hAnsi="Times New Roman"/>
      <w:sz w:val="24"/>
    </w:rPr>
  </w:style>
  <w:style w:type="character" w:styleId="FollowedHyperlink">
    <w:name w:val="FollowedHyperlink"/>
    <w:basedOn w:val="DefaultParagraphFont"/>
    <w:uiPriority w:val="99"/>
    <w:semiHidden/>
    <w:unhideWhenUsed/>
    <w:rsid w:val="00707EAB"/>
    <w:rPr>
      <w:color w:val="954F72" w:themeColor="followedHyperlink"/>
      <w:u w:val="single"/>
    </w:rPr>
  </w:style>
  <w:style w:type="character" w:styleId="UnresolvedMention">
    <w:name w:val="Unresolved Mention"/>
    <w:basedOn w:val="DefaultParagraphFont"/>
    <w:uiPriority w:val="99"/>
    <w:semiHidden/>
    <w:unhideWhenUsed/>
    <w:rsid w:val="00707EAB"/>
    <w:rPr>
      <w:color w:val="605E5C"/>
      <w:shd w:val="clear" w:color="auto" w:fill="E1DFDD"/>
    </w:rPr>
  </w:style>
  <w:style w:type="paragraph" w:styleId="EndnoteText">
    <w:name w:val="endnote text"/>
    <w:basedOn w:val="Normal"/>
    <w:link w:val="EndnoteTextChar"/>
    <w:uiPriority w:val="99"/>
    <w:semiHidden/>
    <w:unhideWhenUsed/>
    <w:rsid w:val="00584B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84B06"/>
    <w:rPr>
      <w:rFonts w:ascii="Times New Roman" w:hAnsi="Times New Roman"/>
      <w:sz w:val="20"/>
      <w:szCs w:val="20"/>
    </w:rPr>
  </w:style>
  <w:style w:type="character" w:styleId="EndnoteReference">
    <w:name w:val="endnote reference"/>
    <w:basedOn w:val="DefaultParagraphFont"/>
    <w:uiPriority w:val="99"/>
    <w:semiHidden/>
    <w:unhideWhenUsed/>
    <w:rsid w:val="00584B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1975">
      <w:bodyDiv w:val="1"/>
      <w:marLeft w:val="0"/>
      <w:marRight w:val="0"/>
      <w:marTop w:val="0"/>
      <w:marBottom w:val="0"/>
      <w:divBdr>
        <w:top w:val="none" w:sz="0" w:space="0" w:color="auto"/>
        <w:left w:val="none" w:sz="0" w:space="0" w:color="auto"/>
        <w:bottom w:val="none" w:sz="0" w:space="0" w:color="auto"/>
        <w:right w:val="none" w:sz="0" w:space="0" w:color="auto"/>
      </w:divBdr>
    </w:div>
    <w:div w:id="145318037">
      <w:bodyDiv w:val="1"/>
      <w:marLeft w:val="0"/>
      <w:marRight w:val="0"/>
      <w:marTop w:val="0"/>
      <w:marBottom w:val="0"/>
      <w:divBdr>
        <w:top w:val="none" w:sz="0" w:space="0" w:color="auto"/>
        <w:left w:val="none" w:sz="0" w:space="0" w:color="auto"/>
        <w:bottom w:val="none" w:sz="0" w:space="0" w:color="auto"/>
        <w:right w:val="none" w:sz="0" w:space="0" w:color="auto"/>
      </w:divBdr>
    </w:div>
    <w:div w:id="601962300">
      <w:bodyDiv w:val="1"/>
      <w:marLeft w:val="0"/>
      <w:marRight w:val="0"/>
      <w:marTop w:val="0"/>
      <w:marBottom w:val="0"/>
      <w:divBdr>
        <w:top w:val="none" w:sz="0" w:space="0" w:color="auto"/>
        <w:left w:val="none" w:sz="0" w:space="0" w:color="auto"/>
        <w:bottom w:val="none" w:sz="0" w:space="0" w:color="auto"/>
        <w:right w:val="none" w:sz="0" w:space="0" w:color="auto"/>
      </w:divBdr>
    </w:div>
    <w:div w:id="938680390">
      <w:bodyDiv w:val="1"/>
      <w:marLeft w:val="0"/>
      <w:marRight w:val="0"/>
      <w:marTop w:val="0"/>
      <w:marBottom w:val="0"/>
      <w:divBdr>
        <w:top w:val="none" w:sz="0" w:space="0" w:color="auto"/>
        <w:left w:val="none" w:sz="0" w:space="0" w:color="auto"/>
        <w:bottom w:val="none" w:sz="0" w:space="0" w:color="auto"/>
        <w:right w:val="none" w:sz="0" w:space="0" w:color="auto"/>
      </w:divBdr>
    </w:div>
    <w:div w:id="956565107">
      <w:bodyDiv w:val="1"/>
      <w:marLeft w:val="0"/>
      <w:marRight w:val="0"/>
      <w:marTop w:val="0"/>
      <w:marBottom w:val="0"/>
      <w:divBdr>
        <w:top w:val="none" w:sz="0" w:space="0" w:color="auto"/>
        <w:left w:val="none" w:sz="0" w:space="0" w:color="auto"/>
        <w:bottom w:val="none" w:sz="0" w:space="0" w:color="auto"/>
        <w:right w:val="none" w:sz="0" w:space="0" w:color="auto"/>
      </w:divBdr>
    </w:div>
    <w:div w:id="1821847769">
      <w:bodyDiv w:val="1"/>
      <w:marLeft w:val="0"/>
      <w:marRight w:val="0"/>
      <w:marTop w:val="0"/>
      <w:marBottom w:val="0"/>
      <w:divBdr>
        <w:top w:val="none" w:sz="0" w:space="0" w:color="auto"/>
        <w:left w:val="none" w:sz="0" w:space="0" w:color="auto"/>
        <w:bottom w:val="none" w:sz="0" w:space="0" w:color="auto"/>
        <w:right w:val="none" w:sz="0" w:space="0" w:color="auto"/>
      </w:divBdr>
    </w:div>
    <w:div w:id="184216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site/nycha/about/press/pr-2025/pr-20250410.page" TargetMode="External"/><Relationship Id="rId13" Type="http://schemas.openxmlformats.org/officeDocument/2006/relationships/hyperlink" Target="https://www.nyc.gov/assets/nycha/downloads/pdf/nycha-monitoring-agreement.pdf" TargetMode="External"/><Relationship Id="rId18" Type="http://schemas.openxmlformats.org/officeDocument/2006/relationships/hyperlink" Target="https://www.nyc.gov/assets/nycha/downloads/pdf/NYCHA_Fact_Sheet.pdf" TargetMode="External"/><Relationship Id="rId26" Type="http://schemas.openxmlformats.org/officeDocument/2006/relationships/hyperlink" Target="https://www.nyc.gov/assets/doi/reports/pdf/2026/05NYCHAReclaim.Release.Rpt.03.03.2026.pdf" TargetMode="External"/><Relationship Id="rId3" Type="http://schemas.openxmlformats.org/officeDocument/2006/relationships/hyperlink" Target="https://www.nyc.gov/assets/operations/downloads/pdf/mmr2025/2025_mmr.pdf" TargetMode="External"/><Relationship Id="rId21" Type="http://schemas.openxmlformats.org/officeDocument/2006/relationships/hyperlink" Target="https://www.nyc.gov/assets/operations/downloads/pdf/pmmr2025/2025_pmmr.pdf" TargetMode="External"/><Relationship Id="rId7" Type="http://schemas.openxmlformats.org/officeDocument/2006/relationships/hyperlink" Target="https://nychajournal.nyc/bronx-river-addition-residents-vote-to-join-public-housing-preservation-trust/" TargetMode="External"/><Relationship Id="rId12" Type="http://schemas.openxmlformats.org/officeDocument/2006/relationships/hyperlink" Target="https://www.nyc.gov/site/nycha/about/press/pr-2025/pr-20250429.page" TargetMode="External"/><Relationship Id="rId17" Type="http://schemas.openxmlformats.org/officeDocument/2006/relationships/hyperlink" Target="https://www.nyc.gov/site/hpd/news/007-24/new-york-city-s-vacancy-rate-reaches-historic-low-1-4-percent-demanding-urgent-action-new" TargetMode="External"/><Relationship Id="rId25" Type="http://schemas.openxmlformats.org/officeDocument/2006/relationships/hyperlink" Target="https://www.nyc.gov/assets/operations/downloads/pdf/pmmr2025/2025_pmmr.pdf"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ww.nychamonitor.com/reports" TargetMode="External"/><Relationship Id="rId20" Type="http://schemas.openxmlformats.org/officeDocument/2006/relationships/hyperlink" Target="https://www.nyc.gov/assets/nycha/downloads/pdf/NYCHA_Fact_Sheet.pdf" TargetMode="External"/><Relationship Id="rId29" Type="http://schemas.openxmlformats.org/officeDocument/2006/relationships/hyperlink" Target="https://img1.wsimg.com/blobby/go/1191cd59-cd0d-4d02-a60c-098cfcfb7ca1/downloads/Borough%20Monitoring%20-%20Quarterly%20Report%20-%20Off%20of.pdf?ver=1733950517446"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nychajournal.nyc/first-resident-vote-certified-nostrand-residents-select-the-trust/" TargetMode="External"/><Relationship Id="rId11" Type="http://schemas.openxmlformats.org/officeDocument/2006/relationships/hyperlink" Target="https://www.nyc.gov/site/nycha/residents/voting-Isaacs.page" TargetMode="External"/><Relationship Id="rId24" Type="http://schemas.openxmlformats.org/officeDocument/2006/relationships/hyperlink" Target="https://www.nyc.gov/assets/operations/downloads/pdf/pmmr2026/nycha.pdf" TargetMode="External"/><Relationship Id="rId5" Type="http://schemas.openxmlformats.org/officeDocument/2006/relationships/hyperlink" Target="https://www.nyc.gov/site/nycha/about/public-housing-preservation-trust.page" TargetMode="External"/><Relationship Id="rId15" Type="http://schemas.openxmlformats.org/officeDocument/2006/relationships/hyperlink" Target="https://www.nychamonitor.com/" TargetMode="External"/><Relationship Id="rId23" Type="http://schemas.openxmlformats.org/officeDocument/2006/relationships/hyperlink" Target="https://www.nyc.gov/site/operations/reports/mmr.page" TargetMode="External"/><Relationship Id="rId28" Type="http://schemas.openxmlformats.org/officeDocument/2006/relationships/hyperlink" Target="https://comptroller.nyc.gov/reports/audit-report-on-the-new-york-city-housing-authoritys-management-of-vacant-apartments/" TargetMode="External"/><Relationship Id="rId10" Type="http://schemas.openxmlformats.org/officeDocument/2006/relationships/hyperlink" Target="https://www.nyc.gov/site/nycha/about/press/pr-2025/pr-20250429.page" TargetMode="External"/><Relationship Id="rId19" Type="http://schemas.openxmlformats.org/officeDocument/2006/relationships/hyperlink" Target="https://www.nyc.gov/assets/nycha/downloads/pdf/NYCHA_Fact_Sheet.pdf" TargetMode="External"/><Relationship Id="rId31" Type="http://schemas.openxmlformats.org/officeDocument/2006/relationships/hyperlink" Target="https://legistar.council.nyc.gov/MeetingDetail.aspx?ID=1313799&amp;GUID=6679618F-2971-48C8-B9FF-A3CC69EC72F4&amp;Options=info|&amp;Search=" TargetMode="External"/><Relationship Id="rId4" Type="http://schemas.openxmlformats.org/officeDocument/2006/relationships/hyperlink" Target="https://www.nyc.gov/site/nycha/residents/voting-nostrand.page" TargetMode="External"/><Relationship Id="rId9" Type="http://schemas.openxmlformats.org/officeDocument/2006/relationships/hyperlink" Target="https://www.archpaper.com/2025/04/nycha-jacob-riis-houses-vote-section-9/" TargetMode="External"/><Relationship Id="rId14" Type="http://schemas.openxmlformats.org/officeDocument/2006/relationships/hyperlink" Target="https://www.justice.gov/usao-sdny/pr/us-attorney-announces-application-process-second-term-nycha-monitorship" TargetMode="External"/><Relationship Id="rId22" Type="http://schemas.openxmlformats.org/officeDocument/2006/relationships/hyperlink" Target="https://council.nyc.gov/data/nycha-vacancy/" TargetMode="External"/><Relationship Id="rId27" Type="http://schemas.openxmlformats.org/officeDocument/2006/relationships/hyperlink" Target="https://legistar.council.nyc.gov/LegislationDetail.aspx?ID=3498451&amp;GUID=32932F9A-CBB0-4413-95F3-4AFCCCE64F41&amp;Options=Advanced&amp;Search=" TargetMode="External"/><Relationship Id="rId30" Type="http://schemas.openxmlformats.org/officeDocument/2006/relationships/hyperlink" Target="https://www.thecity.nyc/2024/02/21/nycha-5000-empty-apart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31BDF-BC19-4B96-93C2-6C0FC11C914F}">
  <ds:schemaRefs>
    <ds:schemaRef ds:uri="http://schemas.microsoft.com/office/2006/metadata/properties"/>
    <ds:schemaRef ds:uri="http://schemas.microsoft.com/office/infopath/2007/PartnerControls"/>
    <ds:schemaRef ds:uri="0a89be48-00c3-4dce-a54e-5fa37f38efab"/>
  </ds:schemaRefs>
</ds:datastoreItem>
</file>

<file path=customXml/itemProps2.xml><?xml version="1.0" encoding="utf-8"?>
<ds:datastoreItem xmlns:ds="http://schemas.openxmlformats.org/officeDocument/2006/customXml" ds:itemID="{752DD39C-BA8F-4353-BF67-10118977E359}">
  <ds:schemaRefs>
    <ds:schemaRef ds:uri="http://schemas.microsoft.com/sharepoint/v3/contenttype/forms"/>
  </ds:schemaRefs>
</ds:datastoreItem>
</file>

<file path=customXml/itemProps3.xml><?xml version="1.0" encoding="utf-8"?>
<ds:datastoreItem xmlns:ds="http://schemas.openxmlformats.org/officeDocument/2006/customXml" ds:itemID="{4E9EF21C-7D0A-4F9F-A6F7-2F46B4690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26FA1D-209F-456C-A306-464421ED3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2550</Words>
  <Characters>14537</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Charles</dc:creator>
  <cp:keywords/>
  <dc:description/>
  <cp:lastModifiedBy>Jeffries, Jillian</cp:lastModifiedBy>
  <cp:revision>2</cp:revision>
  <dcterms:created xsi:type="dcterms:W3CDTF">2026-03-27T17:33:00Z</dcterms:created>
  <dcterms:modified xsi:type="dcterms:W3CDTF">2026-03-27T17:33:00Z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