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3D1C3199" w:rsidR="006A3691" w:rsidRPr="00144BC9" w:rsidRDefault="00610B8E" w:rsidP="000451DA">
      <w:pPr>
        <w:shd w:val="clear" w:color="auto" w:fill="FFFFFF"/>
        <w:spacing w:line="240" w:lineRule="auto"/>
        <w:jc w:val="center"/>
        <w:rPr>
          <w:rFonts w:ascii="Times New Roman" w:eastAsia="Times New Roman" w:hAnsi="Times New Roman" w:cs="Times New Roman"/>
          <w:sz w:val="24"/>
          <w:szCs w:val="24"/>
        </w:rPr>
      </w:pPr>
      <w:r w:rsidRPr="00144BC9">
        <w:rPr>
          <w:rFonts w:ascii="Times New Roman" w:eastAsia="Times New Roman" w:hAnsi="Times New Roman" w:cs="Times New Roman"/>
          <w:sz w:val="24"/>
          <w:szCs w:val="24"/>
        </w:rPr>
        <w:t xml:space="preserve">Res. No. </w:t>
      </w:r>
      <w:r w:rsidR="00144BC9" w:rsidRPr="00144BC9">
        <w:rPr>
          <w:rFonts w:ascii="Times New Roman" w:eastAsia="Times New Roman" w:hAnsi="Times New Roman" w:cs="Times New Roman"/>
          <w:sz w:val="24"/>
          <w:szCs w:val="24"/>
        </w:rPr>
        <w:t>419</w:t>
      </w:r>
    </w:p>
    <w:p w14:paraId="00000003" w14:textId="77777777" w:rsidR="006A3691" w:rsidRDefault="006A3691" w:rsidP="000451DA">
      <w:pPr>
        <w:shd w:val="clear" w:color="auto" w:fill="FFFFFF"/>
        <w:spacing w:line="240" w:lineRule="auto"/>
        <w:jc w:val="both"/>
        <w:rPr>
          <w:rFonts w:ascii="Times New Roman" w:eastAsia="Times New Roman" w:hAnsi="Times New Roman" w:cs="Times New Roman"/>
          <w:sz w:val="24"/>
          <w:szCs w:val="24"/>
        </w:rPr>
      </w:pPr>
    </w:p>
    <w:p w14:paraId="2C15BA81" w14:textId="77777777" w:rsidR="00D838F1" w:rsidRPr="00D838F1" w:rsidRDefault="00D838F1" w:rsidP="000451DA">
      <w:pPr>
        <w:shd w:val="clear" w:color="auto" w:fill="FFFFFF"/>
        <w:spacing w:line="240" w:lineRule="auto"/>
        <w:jc w:val="both"/>
        <w:rPr>
          <w:rFonts w:ascii="Times New Roman" w:eastAsia="Times New Roman" w:hAnsi="Times New Roman" w:cs="Times New Roman"/>
          <w:vanish/>
          <w:sz w:val="24"/>
          <w:szCs w:val="24"/>
        </w:rPr>
      </w:pPr>
      <w:r w:rsidRPr="00D838F1">
        <w:rPr>
          <w:rFonts w:ascii="Times New Roman" w:eastAsia="Times New Roman" w:hAnsi="Times New Roman" w:cs="Times New Roman"/>
          <w:vanish/>
          <w:sz w:val="24"/>
          <w:szCs w:val="24"/>
        </w:rPr>
        <w:t>..Title</w:t>
      </w:r>
    </w:p>
    <w:p w14:paraId="00000004" w14:textId="52A20139" w:rsidR="006A3691" w:rsidRDefault="00610B8E" w:rsidP="000451DA">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 calling on the New York State Government to take the steps necessary to amend the constitution and applicable statutory law to increase New York City’s debt limit</w:t>
      </w:r>
    </w:p>
    <w:p w14:paraId="2866FE13" w14:textId="4E973C7A" w:rsidR="00D838F1" w:rsidRPr="00D838F1" w:rsidRDefault="00D838F1" w:rsidP="000451DA">
      <w:pPr>
        <w:shd w:val="clear" w:color="auto" w:fill="FFFFFF"/>
        <w:spacing w:line="240" w:lineRule="auto"/>
        <w:jc w:val="both"/>
        <w:rPr>
          <w:rFonts w:ascii="Times New Roman" w:eastAsia="Times New Roman" w:hAnsi="Times New Roman" w:cs="Times New Roman"/>
          <w:vanish/>
          <w:sz w:val="24"/>
          <w:szCs w:val="24"/>
        </w:rPr>
      </w:pPr>
      <w:r w:rsidRPr="00D838F1">
        <w:rPr>
          <w:rFonts w:ascii="Times New Roman" w:eastAsia="Times New Roman" w:hAnsi="Times New Roman" w:cs="Times New Roman"/>
          <w:vanish/>
          <w:sz w:val="24"/>
          <w:szCs w:val="24"/>
        </w:rPr>
        <w:t>..Body</w:t>
      </w:r>
    </w:p>
    <w:p w14:paraId="00000005" w14:textId="77777777" w:rsidR="006A3691" w:rsidRDefault="00610B8E" w:rsidP="000451DA">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6" w14:textId="77777777" w:rsidR="006A3691" w:rsidRDefault="00610B8E" w:rsidP="00610B8E">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Council Member Epstein</w:t>
      </w:r>
    </w:p>
    <w:p w14:paraId="45DA424A" w14:textId="77777777" w:rsidR="00610B8E" w:rsidRDefault="00610B8E" w:rsidP="000451DA">
      <w:pPr>
        <w:shd w:val="clear" w:color="auto" w:fill="FFFFFF"/>
        <w:spacing w:line="240" w:lineRule="auto"/>
        <w:jc w:val="both"/>
        <w:rPr>
          <w:rFonts w:ascii="Times New Roman" w:eastAsia="Times New Roman" w:hAnsi="Times New Roman" w:cs="Times New Roman"/>
          <w:sz w:val="24"/>
          <w:szCs w:val="24"/>
        </w:rPr>
      </w:pPr>
    </w:p>
    <w:p w14:paraId="00000007" w14:textId="6A6C9C94"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Whereas, New York City is the largest city in the United States, with a population more than twice that of the second-largest U.S. city; and</w:t>
      </w:r>
    </w:p>
    <w:p w14:paraId="00000008" w14:textId="63BFB9E6" w:rsidR="006A3691" w:rsidRDefault="00610B8E" w:rsidP="000451DA">
      <w:pPr>
        <w:spacing w:line="48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New York City maintains an extensive, complex, and aging public infrastructure system that includes the largest portfolio of school facilities, firehouses, health facilities, community colleges, transportation assets, libraries, and public safety facilities of any city in the nation; and</w:t>
      </w:r>
    </w:p>
    <w:p w14:paraId="00000009" w14:textId="4D4B881E"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w:t>
      </w:r>
      <w:proofErr w:type="gramStart"/>
      <w:r>
        <w:rPr>
          <w:rFonts w:ascii="Times New Roman" w:eastAsia="Times New Roman" w:hAnsi="Times New Roman" w:cs="Times New Roman"/>
          <w:sz w:val="24"/>
          <w:szCs w:val="24"/>
        </w:rPr>
        <w:t>Unlike</w:t>
      </w:r>
      <w:proofErr w:type="gramEnd"/>
      <w:r>
        <w:rPr>
          <w:rFonts w:ascii="Times New Roman" w:eastAsia="Times New Roman" w:hAnsi="Times New Roman" w:cs="Times New Roman"/>
          <w:sz w:val="24"/>
          <w:szCs w:val="24"/>
        </w:rPr>
        <w:t xml:space="preserve"> most large U.S. cities, New York City performs not only municipal functions, but also county and school district functions, resulting in responsibilities that in other jurisdictions are typically distributed among multiple layers of government, including counties, school districts, public authorities, and special districts; and</w:t>
      </w:r>
    </w:p>
    <w:p w14:paraId="0000000A" w14:textId="65B1BF63"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w:t>
      </w:r>
      <w:proofErr w:type="gramStart"/>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a result of this consolidated governance structure, New York City directly funds, finances, and maintains public assets and services that peer cities often support through overlapping or separate governmental entities, increasing capital needs on the City’s balance sheet; and</w:t>
      </w:r>
    </w:p>
    <w:p w14:paraId="0000000B" w14:textId="6F0826A8" w:rsidR="006A3691" w:rsidRDefault="00610B8E" w:rsidP="000451DA">
      <w:pPr>
        <w:spacing w:line="48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New York City funds its capital projects and infrastructure by taking on debt through the issuance of municipal bonds under authority granted and prescribed by New York State; and</w:t>
      </w:r>
    </w:p>
    <w:p w14:paraId="0000000C" w14:textId="26BFF83D"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Pursuant to Article VIII of the New York State Constitution and Section 135 of the New York State Local Finance Law, New York City’s general debt limit is capped at ten </w:t>
      </w:r>
      <w:r>
        <w:rPr>
          <w:rFonts w:ascii="Times New Roman" w:eastAsia="Times New Roman" w:hAnsi="Times New Roman" w:cs="Times New Roman"/>
          <w:sz w:val="24"/>
          <w:szCs w:val="24"/>
        </w:rPr>
        <w:lastRenderedPageBreak/>
        <w:t>percent of the five-year rolling average of the full valuation of taxable real estate, a measure that does not fully reflect the City’s diversified revenue base or long-term infrastructure needs; and</w:t>
      </w:r>
    </w:p>
    <w:p w14:paraId="0000000D" w14:textId="2DA303B8" w:rsidR="006A3691" w:rsidRDefault="00610B8E" w:rsidP="000451DA">
      <w:pPr>
        <w:spacing w:line="48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The Transitional Finance Authority (TFA) was created by State </w:t>
      </w:r>
      <w:proofErr w:type="gramStart"/>
      <w:r>
        <w:rPr>
          <w:rFonts w:ascii="Times New Roman" w:eastAsia="Times New Roman" w:hAnsi="Times New Roman" w:cs="Times New Roman"/>
          <w:sz w:val="24"/>
          <w:szCs w:val="24"/>
        </w:rPr>
        <w:t>statute</w:t>
      </w:r>
      <w:proofErr w:type="gramEnd"/>
      <w:r>
        <w:rPr>
          <w:rFonts w:ascii="Times New Roman" w:eastAsia="Times New Roman" w:hAnsi="Times New Roman" w:cs="Times New Roman"/>
          <w:sz w:val="24"/>
          <w:szCs w:val="24"/>
        </w:rPr>
        <w:t xml:space="preserve"> in 1997 to allow the City to incur additional debt beyond what the Constitutional debt limit otherwise authorizes; and</w:t>
      </w:r>
    </w:p>
    <w:p w14:paraId="0000000E" w14:textId="61D26F3A" w:rsidR="006A3691" w:rsidRDefault="00610B8E" w:rsidP="000451DA">
      <w:pPr>
        <w:spacing w:line="48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TFA bonds are secured by City personal income tax and sales tax revenues; and</w:t>
      </w:r>
    </w:p>
    <w:p w14:paraId="0000000F" w14:textId="77777777"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Whereas, As of July 1, 2025, State law permits the City to issue up to $30.5 billion in TFA bonds; and</w:t>
      </w:r>
    </w:p>
    <w:p w14:paraId="00000010" w14:textId="6101E58D" w:rsidR="006A3691" w:rsidRDefault="00610B8E" w:rsidP="000451DA">
      <w:pPr>
        <w:spacing w:line="48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Recent increases in the statutory authorization for TFA bonds have temporarily bolstered the City’s debt-incurring capacity; and</w:t>
      </w:r>
    </w:p>
    <w:p w14:paraId="00000011" w14:textId="20D03821"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Whereas, However, absent additional upward adjustment of the applicable borrowing caps, future increases in City debt-incurring capacity will rely primarily on growth in assessed property values and scheduled principal repayment; and</w:t>
      </w:r>
    </w:p>
    <w:p w14:paraId="400ECAAB" w14:textId="6F05FEA9" w:rsidR="00EF2C3C" w:rsidRPr="00EF2C3C" w:rsidRDefault="00EF2C3C" w:rsidP="000451DA">
      <w:pPr>
        <w:pStyle w:val="NormalWeb"/>
        <w:spacing w:before="0" w:beforeAutospacing="0" w:after="0" w:afterAutospacing="0" w:line="480" w:lineRule="auto"/>
        <w:ind w:firstLine="720"/>
        <w:jc w:val="both"/>
        <w:rPr>
          <w:rFonts w:ascii="Times New Roman" w:hAnsi="Times New Roman" w:cs="Times New Roman"/>
        </w:rPr>
      </w:pPr>
      <w:proofErr w:type="gramStart"/>
      <w:r w:rsidRPr="00EF2C3C">
        <w:rPr>
          <w:rFonts w:ascii="Times New Roman" w:hAnsi="Times New Roman" w:cs="Times New Roman"/>
        </w:rPr>
        <w:t>Whereas,</w:t>
      </w:r>
      <w:proofErr w:type="gramEnd"/>
      <w:r w:rsidRPr="00EF2C3C">
        <w:rPr>
          <w:rFonts w:ascii="Times New Roman" w:hAnsi="Times New Roman" w:cs="Times New Roman"/>
        </w:rPr>
        <w:t xml:space="preserve"> New York City is experiencing a severe affordable housing shortage driven by a persistent mismatch between the supply of housing and the demand from residents across all income levels; and</w:t>
      </w:r>
    </w:p>
    <w:p w14:paraId="1281D944" w14:textId="54078DD5" w:rsidR="00EF2C3C" w:rsidRPr="00EF2C3C" w:rsidRDefault="00EF2C3C" w:rsidP="000451DA">
      <w:pPr>
        <w:pStyle w:val="NormalWeb"/>
        <w:spacing w:before="0" w:beforeAutospacing="0" w:after="0" w:afterAutospacing="0" w:line="480" w:lineRule="auto"/>
        <w:ind w:firstLine="720"/>
        <w:jc w:val="both"/>
        <w:rPr>
          <w:rFonts w:ascii="Times New Roman" w:hAnsi="Times New Roman" w:cs="Times New Roman"/>
        </w:rPr>
      </w:pPr>
      <w:r w:rsidRPr="00EF2C3C">
        <w:rPr>
          <w:rFonts w:ascii="Times New Roman" w:hAnsi="Times New Roman" w:cs="Times New Roman"/>
        </w:rPr>
        <w:t xml:space="preserve">Whereas, Over the past several decades, renter household incomes in New York City have grown far more slowly than housing costs, contributing to widespread rent burden among City residents and leaving many households with insufficient income remaining for other </w:t>
      </w:r>
      <w:proofErr w:type="gramStart"/>
      <w:r w:rsidRPr="00EF2C3C">
        <w:rPr>
          <w:rFonts w:ascii="Times New Roman" w:hAnsi="Times New Roman" w:cs="Times New Roman"/>
        </w:rPr>
        <w:t>basic necessities</w:t>
      </w:r>
      <w:proofErr w:type="gramEnd"/>
      <w:r w:rsidRPr="00EF2C3C">
        <w:rPr>
          <w:rFonts w:ascii="Times New Roman" w:hAnsi="Times New Roman" w:cs="Times New Roman"/>
        </w:rPr>
        <w:t>; and</w:t>
      </w:r>
    </w:p>
    <w:p w14:paraId="1A78C2B3" w14:textId="77777777" w:rsidR="00EF2C3C" w:rsidRPr="00EF2C3C" w:rsidRDefault="00EF2C3C" w:rsidP="000451DA">
      <w:pPr>
        <w:pStyle w:val="NormalWeb"/>
        <w:spacing w:before="0" w:beforeAutospacing="0" w:after="0" w:afterAutospacing="0" w:line="480" w:lineRule="auto"/>
        <w:ind w:firstLine="720"/>
        <w:jc w:val="both"/>
        <w:rPr>
          <w:rFonts w:ascii="Times New Roman" w:hAnsi="Times New Roman" w:cs="Times New Roman"/>
        </w:rPr>
      </w:pPr>
      <w:proofErr w:type="gramStart"/>
      <w:r w:rsidRPr="00EF2C3C">
        <w:rPr>
          <w:rFonts w:ascii="Times New Roman" w:hAnsi="Times New Roman" w:cs="Times New Roman"/>
        </w:rPr>
        <w:t>Whereas,</w:t>
      </w:r>
      <w:proofErr w:type="gramEnd"/>
      <w:r w:rsidRPr="00EF2C3C">
        <w:rPr>
          <w:rFonts w:ascii="Times New Roman" w:hAnsi="Times New Roman" w:cs="Times New Roman"/>
        </w:rPr>
        <w:t xml:space="preserve"> The City relies heavily on capital financing to support the construction and preservation of affordable housing through investments in housing development programs, </w:t>
      </w:r>
      <w:r w:rsidRPr="00EF2C3C">
        <w:rPr>
          <w:rFonts w:ascii="Times New Roman" w:hAnsi="Times New Roman" w:cs="Times New Roman"/>
        </w:rPr>
        <w:lastRenderedPageBreak/>
        <w:t>infrastructure supporting residential growth, and subsidies that enable housing projects serving low- and moderate-income households; and</w:t>
      </w:r>
    </w:p>
    <w:p w14:paraId="051EC6B2" w14:textId="17E06663" w:rsidR="00EF2C3C" w:rsidRDefault="00EF2C3C" w:rsidP="000451DA">
      <w:pPr>
        <w:pStyle w:val="NormalWeb"/>
        <w:spacing w:before="0" w:beforeAutospacing="0" w:after="0" w:afterAutospacing="0" w:line="480" w:lineRule="auto"/>
        <w:ind w:firstLine="720"/>
        <w:jc w:val="both"/>
        <w:rPr>
          <w:rFonts w:ascii="Times New Roman" w:hAnsi="Times New Roman" w:cs="Times New Roman"/>
        </w:rPr>
      </w:pPr>
      <w:proofErr w:type="gramStart"/>
      <w:r w:rsidRPr="00EF2C3C">
        <w:rPr>
          <w:rFonts w:ascii="Times New Roman" w:hAnsi="Times New Roman" w:cs="Times New Roman"/>
        </w:rPr>
        <w:t>Whereas,</w:t>
      </w:r>
      <w:proofErr w:type="gramEnd"/>
      <w:r w:rsidRPr="00EF2C3C">
        <w:rPr>
          <w:rFonts w:ascii="Times New Roman" w:hAnsi="Times New Roman" w:cs="Times New Roman"/>
        </w:rPr>
        <w:t xml:space="preserve"> Expanding the City’s debt-incurring capacity would provide additional flexibility to finance capital investments necessary to support the production and preservation of affordable housing and address the City’s ongoing housing shortage; and</w:t>
      </w:r>
    </w:p>
    <w:p w14:paraId="00000012" w14:textId="612FE9E9"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Whereas, The</w:t>
      </w:r>
      <w:r w:rsidR="00256A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City Comptroller found in his Annual Report on Capital Debt and Obligations for Fiscal Year 2026 (Annual Report) that increases in debt-incurring capacity at the beginning of each fiscal year are projected to be outpaced by additional indebtedness incurred throughout the year, resulting in a continued downward trend in remaining debt-incurring capacity through at least Fiscal Year 2029; and</w:t>
      </w:r>
    </w:p>
    <w:p w14:paraId="00000013" w14:textId="062D678A"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w:t>
      </w:r>
      <w:proofErr w:type="gramStart"/>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a result, the City’s remaining debt-incurring power is projected to decline significantly, from approximately $44.4 billion at the beginning of Fiscal Year 2026 to $26.9 billion by the beginning of Fiscal Year 2029; and         </w:t>
      </w:r>
      <w:r>
        <w:rPr>
          <w:rFonts w:ascii="Times New Roman" w:eastAsia="Times New Roman" w:hAnsi="Times New Roman" w:cs="Times New Roman"/>
          <w:sz w:val="24"/>
          <w:szCs w:val="24"/>
        </w:rPr>
        <w:tab/>
      </w:r>
    </w:p>
    <w:p w14:paraId="00000014" w14:textId="16E9CF16"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w:t>
      </w:r>
      <w:proofErr w:type="gramStart"/>
      <w:r>
        <w:rPr>
          <w:rFonts w:ascii="Times New Roman" w:eastAsia="Times New Roman" w:hAnsi="Times New Roman" w:cs="Times New Roman"/>
          <w:sz w:val="24"/>
          <w:szCs w:val="24"/>
        </w:rPr>
        <w:t>After</w:t>
      </w:r>
      <w:proofErr w:type="gramEnd"/>
      <w:r>
        <w:rPr>
          <w:rFonts w:ascii="Times New Roman" w:eastAsia="Times New Roman" w:hAnsi="Times New Roman" w:cs="Times New Roman"/>
          <w:sz w:val="24"/>
          <w:szCs w:val="24"/>
        </w:rPr>
        <w:t xml:space="preserve"> accounting for new capital commitments and debt issuance, the City’s remaining debt-incurring margin is projected to fall further, reaching approximately $13.8 billion, or just 8.7 percent of the general debt limit, by Fiscal Year 2029; and</w:t>
      </w:r>
    </w:p>
    <w:p w14:paraId="00000015" w14:textId="22BA2A14" w:rsidR="006A3691" w:rsidRDefault="00610B8E" w:rsidP="000451DA">
      <w:pPr>
        <w:spacing w:line="48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The Comptroller warns that rising debt service relative to revenue growth may place increasing pressure on the City’s operating budget, particularly in periods of economic uncertainty or slower-than-anticipated revenue growth; and</w:t>
      </w:r>
    </w:p>
    <w:p w14:paraId="00000016" w14:textId="5AED05C0"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The Comptroller concluded in the Annual Report that, although the City is not presently in violation of constitutional or statutory debt limits, the projected decline in remaining debt-incurring power after Fiscal Year 2029 may constrain the City’s ability to finance future </w:t>
      </w:r>
      <w:r>
        <w:rPr>
          <w:rFonts w:ascii="Times New Roman" w:eastAsia="Times New Roman" w:hAnsi="Times New Roman" w:cs="Times New Roman"/>
          <w:sz w:val="24"/>
          <w:szCs w:val="24"/>
        </w:rPr>
        <w:lastRenderedPageBreak/>
        <w:t>capital needs without additional statutory flexibility, revised capital planning assumptions, or alternative financing strategies; and</w:t>
      </w:r>
    </w:p>
    <w:p w14:paraId="00000017" w14:textId="52027156" w:rsidR="006A3691" w:rsidRDefault="00610B8E" w:rsidP="000451DA">
      <w:pPr>
        <w:spacing w:line="48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Whereas,</w:t>
      </w:r>
      <w:proofErr w:type="gramEnd"/>
      <w:r>
        <w:rPr>
          <w:rFonts w:ascii="Times New Roman" w:eastAsia="Times New Roman" w:hAnsi="Times New Roman" w:cs="Times New Roman"/>
          <w:sz w:val="24"/>
          <w:szCs w:val="24"/>
        </w:rPr>
        <w:t xml:space="preserve"> The Constitutional debt limit is fixed in relation to the full value of taxable real property in the City, but the City has more revenue streams than just real property taxes; and</w:t>
      </w:r>
    </w:p>
    <w:p w14:paraId="00000018" w14:textId="42C2E13C"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ensure that the cost of debt service does not adversely affect other operating budget priorities, annual debt service costs should be measured relative to the annual revenues used for repayment; and</w:t>
      </w:r>
    </w:p>
    <w:p w14:paraId="00000019" w14:textId="49479157"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amendment to the State Constitution and statutory law to impose a holistic debt limit using an appropriate economic measure would ensure that the full range of economic resources available to the </w:t>
      </w:r>
      <w:proofErr w:type="gramStart"/>
      <w:r>
        <w:rPr>
          <w:rFonts w:ascii="Times New Roman" w:eastAsia="Times New Roman" w:hAnsi="Times New Roman" w:cs="Times New Roman"/>
          <w:sz w:val="24"/>
          <w:szCs w:val="24"/>
        </w:rPr>
        <w:t>City</w:t>
      </w:r>
      <w:proofErr w:type="gramEnd"/>
      <w:r>
        <w:rPr>
          <w:rFonts w:ascii="Times New Roman" w:eastAsia="Times New Roman" w:hAnsi="Times New Roman" w:cs="Times New Roman"/>
          <w:sz w:val="24"/>
          <w:szCs w:val="24"/>
        </w:rPr>
        <w:t xml:space="preserve"> is considered when determining an affordable amount of outstanding debt; and</w:t>
      </w:r>
    </w:p>
    <w:p w14:paraId="0000001A" w14:textId="584764AA"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Increasing New York City’s borrowing capacity would ensure that the City can continue to meet </w:t>
      </w:r>
      <w:r w:rsidR="00256A6E">
        <w:rPr>
          <w:rFonts w:ascii="Times New Roman" w:eastAsia="Times New Roman" w:hAnsi="Times New Roman" w:cs="Times New Roman"/>
          <w:sz w:val="24"/>
          <w:szCs w:val="24"/>
        </w:rPr>
        <w:t>long-term</w:t>
      </w:r>
      <w:r>
        <w:rPr>
          <w:rFonts w:ascii="Times New Roman" w:eastAsia="Times New Roman" w:hAnsi="Times New Roman" w:cs="Times New Roman"/>
          <w:sz w:val="24"/>
          <w:szCs w:val="24"/>
        </w:rPr>
        <w:t xml:space="preserve"> capital needs, including the imminent need for more affordable housing citywide; now, therefore, be it</w:t>
      </w:r>
    </w:p>
    <w:p w14:paraId="0000001B" w14:textId="77777777" w:rsidR="006A3691" w:rsidRDefault="00610B8E" w:rsidP="000451D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Resolved, that the Council of the City of New York calls upon the New York State Government to take the steps necessary to amend the constitution and applicable statutory law to increase New York City’s debt limit.</w:t>
      </w:r>
    </w:p>
    <w:p w14:paraId="0000001C" w14:textId="77777777" w:rsidR="006A3691" w:rsidRDefault="00610B8E" w:rsidP="000451D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D" w14:textId="77777777" w:rsidR="006A3691" w:rsidRDefault="00610B8E" w:rsidP="000451DA">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LS #</w:t>
      </w:r>
      <w:r>
        <w:rPr>
          <w:rFonts w:ascii="Times New Roman" w:eastAsia="Times New Roman" w:hAnsi="Times New Roman" w:cs="Times New Roman"/>
          <w:sz w:val="24"/>
          <w:szCs w:val="24"/>
          <w:highlight w:val="white"/>
        </w:rPr>
        <w:t>21789</w:t>
      </w:r>
    </w:p>
    <w:p w14:paraId="0000001E" w14:textId="77777777" w:rsidR="006A3691" w:rsidRDefault="00610B8E" w:rsidP="000451D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03/03/2026</w:t>
      </w:r>
    </w:p>
    <w:p w14:paraId="0000001F" w14:textId="77777777" w:rsidR="006A3691" w:rsidRDefault="00610B8E" w:rsidP="000451D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w:t>
      </w:r>
    </w:p>
    <w:p w14:paraId="00000020" w14:textId="77777777" w:rsidR="006A3691" w:rsidRDefault="006A3691" w:rsidP="000451DA">
      <w:pPr>
        <w:spacing w:line="240" w:lineRule="auto"/>
        <w:jc w:val="both"/>
      </w:pPr>
    </w:p>
    <w:p w14:paraId="00000021" w14:textId="77777777" w:rsidR="006A3691" w:rsidRDefault="006A3691" w:rsidP="000451DA">
      <w:pPr>
        <w:spacing w:line="240" w:lineRule="auto"/>
        <w:jc w:val="both"/>
      </w:pPr>
    </w:p>
    <w:sectPr w:rsidR="006A3691">
      <w:foot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38115" w14:textId="77777777" w:rsidR="002A724D" w:rsidRDefault="002A724D" w:rsidP="00610B8E">
      <w:pPr>
        <w:spacing w:line="240" w:lineRule="auto"/>
      </w:pPr>
      <w:r>
        <w:separator/>
      </w:r>
    </w:p>
  </w:endnote>
  <w:endnote w:type="continuationSeparator" w:id="0">
    <w:p w14:paraId="00C795FB" w14:textId="77777777" w:rsidR="002A724D" w:rsidRDefault="002A724D" w:rsidP="00610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EA1F7946-05CD-4D3E-BA5E-05B3A66017F3}"/>
  </w:font>
  <w:font w:name="Calibri">
    <w:panose1 w:val="020F0502020204030204"/>
    <w:charset w:val="00"/>
    <w:family w:val="swiss"/>
    <w:pitch w:val="variable"/>
    <w:sig w:usb0="E4002EFF" w:usb1="C200247B" w:usb2="00000009" w:usb3="00000000" w:csb0="000001FF" w:csb1="00000000"/>
    <w:embedRegular r:id="rId2" w:fontKey="{1DB39F47-FCAE-4C07-B863-C94C0AF0F333}"/>
  </w:font>
  <w:font w:name="Cambria">
    <w:panose1 w:val="02040503050406030204"/>
    <w:charset w:val="00"/>
    <w:family w:val="roman"/>
    <w:pitch w:val="variable"/>
    <w:sig w:usb0="E00006FF" w:usb1="420024FF" w:usb2="02000000" w:usb3="00000000" w:csb0="0000019F" w:csb1="00000000"/>
    <w:embedRegular r:id="rId3" w:fontKey="{2C932A6B-02D6-4684-8669-6FAB5682E9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487383"/>
      <w:docPartObj>
        <w:docPartGallery w:val="Page Numbers (Bottom of Page)"/>
        <w:docPartUnique/>
      </w:docPartObj>
    </w:sdtPr>
    <w:sdtEndPr>
      <w:rPr>
        <w:rFonts w:ascii="Times New Roman" w:hAnsi="Times New Roman" w:cs="Times New Roman"/>
        <w:noProof/>
        <w:sz w:val="24"/>
        <w:szCs w:val="24"/>
      </w:rPr>
    </w:sdtEndPr>
    <w:sdtContent>
      <w:p w14:paraId="30904759" w14:textId="7410A82C" w:rsidR="00610B8E" w:rsidRPr="000451DA" w:rsidRDefault="00610B8E">
        <w:pPr>
          <w:pStyle w:val="Footer"/>
          <w:jc w:val="center"/>
          <w:rPr>
            <w:rFonts w:ascii="Times New Roman" w:hAnsi="Times New Roman" w:cs="Times New Roman"/>
            <w:sz w:val="24"/>
            <w:szCs w:val="24"/>
          </w:rPr>
        </w:pPr>
        <w:r w:rsidRPr="000451DA">
          <w:rPr>
            <w:rFonts w:ascii="Times New Roman" w:hAnsi="Times New Roman" w:cs="Times New Roman"/>
            <w:sz w:val="24"/>
            <w:szCs w:val="24"/>
          </w:rPr>
          <w:fldChar w:fldCharType="begin"/>
        </w:r>
        <w:r w:rsidRPr="000451DA">
          <w:rPr>
            <w:rFonts w:ascii="Times New Roman" w:hAnsi="Times New Roman" w:cs="Times New Roman"/>
            <w:sz w:val="24"/>
            <w:szCs w:val="24"/>
          </w:rPr>
          <w:instrText xml:space="preserve"> PAGE   \* MERGEFORMAT </w:instrText>
        </w:r>
        <w:r w:rsidRPr="000451DA">
          <w:rPr>
            <w:rFonts w:ascii="Times New Roman" w:hAnsi="Times New Roman" w:cs="Times New Roman"/>
            <w:sz w:val="24"/>
            <w:szCs w:val="24"/>
          </w:rPr>
          <w:fldChar w:fldCharType="separate"/>
        </w:r>
        <w:r w:rsidRPr="000451DA">
          <w:rPr>
            <w:rFonts w:ascii="Times New Roman" w:hAnsi="Times New Roman" w:cs="Times New Roman"/>
            <w:noProof/>
            <w:sz w:val="24"/>
            <w:szCs w:val="24"/>
          </w:rPr>
          <w:t>2</w:t>
        </w:r>
        <w:r w:rsidRPr="000451DA">
          <w:rPr>
            <w:rFonts w:ascii="Times New Roman" w:hAnsi="Times New Roman" w:cs="Times New Roman"/>
            <w:noProof/>
            <w:sz w:val="24"/>
            <w:szCs w:val="24"/>
          </w:rPr>
          <w:fldChar w:fldCharType="end"/>
        </w:r>
      </w:p>
    </w:sdtContent>
  </w:sdt>
  <w:p w14:paraId="3187E760" w14:textId="77777777" w:rsidR="00610B8E" w:rsidRDefault="00610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CE964" w14:textId="77777777" w:rsidR="002A724D" w:rsidRDefault="002A724D" w:rsidP="00610B8E">
      <w:pPr>
        <w:spacing w:line="240" w:lineRule="auto"/>
      </w:pPr>
      <w:r>
        <w:separator/>
      </w:r>
    </w:p>
  </w:footnote>
  <w:footnote w:type="continuationSeparator" w:id="0">
    <w:p w14:paraId="5B26431B" w14:textId="77777777" w:rsidR="002A724D" w:rsidRDefault="002A724D" w:rsidP="00610B8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691"/>
    <w:rsid w:val="00010BC4"/>
    <w:rsid w:val="000451DA"/>
    <w:rsid w:val="00144BC9"/>
    <w:rsid w:val="001946C8"/>
    <w:rsid w:val="00256A6E"/>
    <w:rsid w:val="002A724D"/>
    <w:rsid w:val="002F7350"/>
    <w:rsid w:val="00462C8C"/>
    <w:rsid w:val="004B30D7"/>
    <w:rsid w:val="00610B8E"/>
    <w:rsid w:val="006A3691"/>
    <w:rsid w:val="00804F02"/>
    <w:rsid w:val="00981414"/>
    <w:rsid w:val="00A5271E"/>
    <w:rsid w:val="00A8610F"/>
    <w:rsid w:val="00C05403"/>
    <w:rsid w:val="00CC0BB2"/>
    <w:rsid w:val="00D838F1"/>
    <w:rsid w:val="00EF2C3C"/>
    <w:rsid w:val="00F62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E91E"/>
  <w15:docId w15:val="{61D5BA6A-5AC6-4AEA-885F-B80BB2A9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F2C3C"/>
    <w:pPr>
      <w:spacing w:before="100" w:beforeAutospacing="1" w:after="100" w:afterAutospacing="1" w:line="240" w:lineRule="auto"/>
    </w:pPr>
    <w:rPr>
      <w:rFonts w:ascii="Aptos" w:eastAsia="Times New Roman" w:hAnsi="Aptos" w:cs="Aptos"/>
      <w:sz w:val="24"/>
      <w:szCs w:val="24"/>
      <w:lang w:val="en-US"/>
    </w:rPr>
  </w:style>
  <w:style w:type="paragraph" w:styleId="Revision">
    <w:name w:val="Revision"/>
    <w:hidden/>
    <w:uiPriority w:val="99"/>
    <w:semiHidden/>
    <w:rsid w:val="00610B8E"/>
    <w:pPr>
      <w:spacing w:line="240" w:lineRule="auto"/>
    </w:pPr>
  </w:style>
  <w:style w:type="paragraph" w:styleId="Header">
    <w:name w:val="header"/>
    <w:basedOn w:val="Normal"/>
    <w:link w:val="HeaderChar"/>
    <w:uiPriority w:val="99"/>
    <w:unhideWhenUsed/>
    <w:rsid w:val="00610B8E"/>
    <w:pPr>
      <w:tabs>
        <w:tab w:val="center" w:pos="4680"/>
        <w:tab w:val="right" w:pos="9360"/>
      </w:tabs>
      <w:spacing w:line="240" w:lineRule="auto"/>
    </w:pPr>
  </w:style>
  <w:style w:type="character" w:customStyle="1" w:styleId="HeaderChar">
    <w:name w:val="Header Char"/>
    <w:basedOn w:val="DefaultParagraphFont"/>
    <w:link w:val="Header"/>
    <w:uiPriority w:val="99"/>
    <w:rsid w:val="00610B8E"/>
  </w:style>
  <w:style w:type="paragraph" w:styleId="Footer">
    <w:name w:val="footer"/>
    <w:basedOn w:val="Normal"/>
    <w:link w:val="FooterChar"/>
    <w:uiPriority w:val="99"/>
    <w:unhideWhenUsed/>
    <w:rsid w:val="00610B8E"/>
    <w:pPr>
      <w:tabs>
        <w:tab w:val="center" w:pos="4680"/>
        <w:tab w:val="right" w:pos="9360"/>
      </w:tabs>
      <w:spacing w:line="240" w:lineRule="auto"/>
    </w:pPr>
  </w:style>
  <w:style w:type="character" w:customStyle="1" w:styleId="FooterChar">
    <w:name w:val="Footer Char"/>
    <w:basedOn w:val="DefaultParagraphFont"/>
    <w:link w:val="Footer"/>
    <w:uiPriority w:val="99"/>
    <w:rsid w:val="00610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954</Words>
  <Characters>5439</Characters>
  <Application>Microsoft Office Word</Application>
  <DocSecurity>0</DocSecurity>
  <Lines>45</Lines>
  <Paragraphs>12</Paragraphs>
  <ScaleCrop>false</ScaleCrop>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Wheeler, Lindsey</dc:creator>
  <cp:lastModifiedBy>Jeffries, Jillian</cp:lastModifiedBy>
  <cp:revision>3</cp:revision>
  <dcterms:created xsi:type="dcterms:W3CDTF">2026-03-22T21:29:00Z</dcterms:created>
  <dcterms:modified xsi:type="dcterms:W3CDTF">2026-04-16T12:54:00Z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14f42701-7acd-4e56-84a2-7a8aed0013a6</vt:lpwstr>
  </property>
</Properties>
</file>