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BCCF" w14:textId="79DBEB10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THE COUNCIL</w:t>
      </w:r>
    </w:p>
    <w:p w14:paraId="2E892F03" w14:textId="04D5C11F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</w:p>
    <w:p w14:paraId="5FDD4973" w14:textId="417ED4AB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JOINT REPORT OF THE LAND USE COMMITTEE</w:t>
      </w:r>
    </w:p>
    <w:p w14:paraId="4757A5EE" w14:textId="175E82ED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AND THE</w:t>
      </w:r>
    </w:p>
    <w:p w14:paraId="08857D8C" w14:textId="3959B4EE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SUBCOMMITTEE ON ZONING AND FRANCHISES</w:t>
      </w:r>
    </w:p>
    <w:p w14:paraId="042E0E6C" w14:textId="1FD18E93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5EBFF4D" w14:textId="5300464A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L.U. No. 49 (Res. No. </w:t>
      </w:r>
      <w:r w:rsidR="00414BFF">
        <w:rPr>
          <w:rStyle w:val="normaltextrun"/>
          <w:rFonts w:eastAsiaTheme="majorEastAsia"/>
          <w:b/>
          <w:bCs/>
          <w:color w:val="000000"/>
        </w:rPr>
        <w:t>434</w:t>
      </w:r>
      <w:r>
        <w:rPr>
          <w:rStyle w:val="normaltextrun"/>
          <w:rFonts w:eastAsiaTheme="majorEastAsia"/>
          <w:b/>
          <w:bCs/>
          <w:color w:val="000000"/>
        </w:rPr>
        <w:t>)</w:t>
      </w:r>
    </w:p>
    <w:p w14:paraId="79AE2468" w14:textId="423F53FB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 </w:t>
      </w:r>
    </w:p>
    <w:p w14:paraId="28B7984D" w14:textId="655D44B4" w:rsidR="008947CF" w:rsidRDefault="008947CF" w:rsidP="008947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By Council Members Riley and Louis</w:t>
      </w:r>
    </w:p>
    <w:p w14:paraId="265A98D1" w14:textId="46219DA2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CA55167" w14:textId="12A92D71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30E78F" w14:textId="7F40F681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SUBJECT</w:t>
      </w:r>
    </w:p>
    <w:p w14:paraId="08303EA1" w14:textId="7A3DA460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DDF6CB2" w14:textId="12F0E1FC" w:rsidR="008947CF" w:rsidRPr="00D931FE" w:rsidRDefault="11318B3C" w:rsidP="556B0687">
      <w:pPr>
        <w:pStyle w:val="paragraph"/>
        <w:tabs>
          <w:tab w:val="right" w:pos="9360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556B0687">
        <w:rPr>
          <w:rStyle w:val="normaltextrun"/>
          <w:rFonts w:eastAsiaTheme="majorEastAsia"/>
          <w:b/>
          <w:bCs/>
          <w:caps/>
          <w:color w:val="000000" w:themeColor="text1"/>
        </w:rPr>
        <w:t>bronx CB </w:t>
      </w:r>
      <w:r w:rsidRPr="556B0687">
        <w:rPr>
          <w:rStyle w:val="normaltextrun"/>
          <w:rFonts w:eastAsiaTheme="majorEastAsia"/>
          <w:b/>
          <w:bCs/>
          <w:color w:val="000000" w:themeColor="text1"/>
        </w:rPr>
        <w:t>– 9</w:t>
      </w:r>
      <w:r w:rsidR="19C8D1F2">
        <w:tab/>
      </w:r>
      <w:r w:rsidRPr="556B0687">
        <w:rPr>
          <w:rStyle w:val="tabchar"/>
          <w:rFonts w:eastAsiaTheme="majorEastAsia"/>
          <w:b/>
          <w:bCs/>
          <w:color w:val="000000" w:themeColor="text1"/>
        </w:rPr>
        <w:t>D 2650051365 SWX</w:t>
      </w:r>
    </w:p>
    <w:p w14:paraId="18A4F8F6" w14:textId="77777777" w:rsidR="00D931FE" w:rsidRDefault="00D931FE" w:rsidP="094B10D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 w:themeColor="text1"/>
        </w:rPr>
      </w:pPr>
    </w:p>
    <w:p w14:paraId="72A9F378" w14:textId="7AD226E6" w:rsidR="008947CF" w:rsidRDefault="075063B6" w:rsidP="094B10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94B10D1">
        <w:rPr>
          <w:rStyle w:val="normaltextrun"/>
          <w:rFonts w:eastAsiaTheme="majorEastAsia"/>
          <w:color w:val="000000" w:themeColor="text1"/>
        </w:rPr>
        <w:t>Application pursuant to Section 19-160.2 of the Administrative Code of the City of New York concerning the petition of Sabrosura for a new revocable consent to establish, maintain and operate a</w:t>
      </w:r>
      <w:r w:rsidR="69DBDF07" w:rsidRPr="094B10D1">
        <w:rPr>
          <w:rStyle w:val="normaltextrun"/>
          <w:rFonts w:eastAsiaTheme="majorEastAsia"/>
          <w:color w:val="000000" w:themeColor="text1"/>
        </w:rPr>
        <w:t>n enclosed</w:t>
      </w:r>
      <w:r w:rsidRPr="094B10D1">
        <w:rPr>
          <w:rStyle w:val="normaltextrun"/>
          <w:rFonts w:eastAsiaTheme="majorEastAsia"/>
          <w:color w:val="000000" w:themeColor="text1"/>
        </w:rPr>
        <w:t xml:space="preserve"> sidewalk café located at1200 Castle Hill Avenue, Bronx, NY 10462. </w:t>
      </w:r>
    </w:p>
    <w:p w14:paraId="7CEE481D" w14:textId="758A04F0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C5174BF" w14:textId="4AEC67A5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INTENT</w:t>
      </w:r>
    </w:p>
    <w:p w14:paraId="3BF8B91A" w14:textId="6A50F38A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FE1DBA2" w14:textId="3EDCEB3D" w:rsidR="008947CF" w:rsidRDefault="008947CF" w:rsidP="008947C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To allow an eating or drinking place located on a property which abuts the street to establish, maintain, and operate a sidewalk café on the sidewalk of such street.</w:t>
      </w:r>
    </w:p>
    <w:p w14:paraId="56902929" w14:textId="7E0751D9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387F650" w14:textId="0191A514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PUBLIC HEARING</w:t>
      </w:r>
    </w:p>
    <w:p w14:paraId="420154E5" w14:textId="4B76A59D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22BC84" w14:textId="138B8DC7" w:rsidR="008947CF" w:rsidRDefault="008947CF" w:rsidP="008947C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> April 14, 2026</w:t>
      </w:r>
    </w:p>
    <w:p w14:paraId="77A7004C" w14:textId="31307F98" w:rsidR="008947CF" w:rsidRDefault="008947CF" w:rsidP="008947C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 </w:t>
      </w:r>
    </w:p>
    <w:p w14:paraId="4CD94B54" w14:textId="7B7F905B" w:rsidR="008947CF" w:rsidRDefault="008947CF" w:rsidP="00D931FE">
      <w:pPr>
        <w:pStyle w:val="paragraph"/>
        <w:tabs>
          <w:tab w:val="left" w:pos="3240"/>
          <w:tab w:val="left" w:pos="5760"/>
          <w:tab w:val="left" w:pos="7920"/>
        </w:tabs>
        <w:spacing w:before="0" w:beforeAutospacing="0" w:after="0" w:afterAutospacing="0"/>
        <w:ind w:left="720"/>
        <w:textAlignment w:val="baseline"/>
        <w:rPr>
          <w:rStyle w:val="normaltextrun"/>
          <w:rFonts w:eastAsiaTheme="majorEastAsia"/>
        </w:rPr>
      </w:pPr>
      <w:r w:rsidRPr="1509BC86">
        <w:rPr>
          <w:rStyle w:val="normaltextrun"/>
          <w:rFonts w:eastAsiaTheme="majorEastAsia"/>
          <w:b/>
          <w:bCs/>
        </w:rPr>
        <w:t>Witnesses in Favor:</w:t>
      </w:r>
      <w:r>
        <w:tab/>
      </w:r>
      <w:r w:rsidR="2D40E6A5" w:rsidRPr="1509BC86">
        <w:rPr>
          <w:rStyle w:val="normaltextrun"/>
          <w:rFonts w:eastAsiaTheme="majorEastAsia"/>
        </w:rPr>
        <w:t>One</w:t>
      </w:r>
      <w:r>
        <w:tab/>
      </w:r>
      <w:r w:rsidRPr="1509BC86">
        <w:rPr>
          <w:rStyle w:val="normaltextrun"/>
          <w:rFonts w:eastAsiaTheme="majorEastAsia"/>
          <w:b/>
          <w:bCs/>
        </w:rPr>
        <w:t>Witnesses</w:t>
      </w:r>
      <w:r w:rsidR="00D931FE">
        <w:rPr>
          <w:rStyle w:val="normaltextrun"/>
          <w:rFonts w:eastAsiaTheme="majorEastAsia"/>
          <w:b/>
          <w:bCs/>
        </w:rPr>
        <w:t xml:space="preserve"> </w:t>
      </w:r>
      <w:r w:rsidRPr="1509BC86">
        <w:rPr>
          <w:rStyle w:val="normaltextrun"/>
          <w:rFonts w:eastAsiaTheme="majorEastAsia"/>
          <w:b/>
          <w:bCs/>
        </w:rPr>
        <w:t>Against:</w:t>
      </w:r>
      <w:r w:rsidR="00D931FE">
        <w:rPr>
          <w:rStyle w:val="normaltextrun"/>
          <w:rFonts w:eastAsiaTheme="majorEastAsia"/>
        </w:rPr>
        <w:tab/>
      </w:r>
      <w:r w:rsidR="212A2901" w:rsidRPr="1509BC86">
        <w:rPr>
          <w:rStyle w:val="normaltextrun"/>
          <w:rFonts w:eastAsiaTheme="majorEastAsia"/>
        </w:rPr>
        <w:t>None</w:t>
      </w:r>
    </w:p>
    <w:p w14:paraId="472BBA85" w14:textId="6BCAB699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39F5475" w14:textId="60DBB08A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t>SUBCOMMITTEE RECO</w:t>
      </w:r>
      <w:r>
        <w:rPr>
          <w:rStyle w:val="normaltextrun"/>
          <w:rFonts w:eastAsiaTheme="majorEastAsia"/>
          <w:b/>
          <w:bCs/>
          <w:u w:val="single"/>
        </w:rPr>
        <w:t>MMENDATION</w:t>
      </w:r>
    </w:p>
    <w:p w14:paraId="42780C08" w14:textId="67109737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0F2EB6" w14:textId="68325280" w:rsidR="008947CF" w:rsidRDefault="7D293946" w:rsidP="28274063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 w:rsidRPr="1EC77613">
        <w:rPr>
          <w:rStyle w:val="normaltextrun"/>
          <w:rFonts w:eastAsiaTheme="majorEastAsia"/>
          <w:b/>
          <w:bCs/>
        </w:rPr>
        <w:t>DATE: </w:t>
      </w:r>
      <w:r w:rsidRPr="1EC77613">
        <w:rPr>
          <w:rStyle w:val="normaltextrun"/>
          <w:rFonts w:eastAsiaTheme="majorEastAsia"/>
        </w:rPr>
        <w:t>April 1</w:t>
      </w:r>
      <w:r w:rsidR="1C1835E8" w:rsidRPr="1EC77613">
        <w:rPr>
          <w:rStyle w:val="normaltextrun"/>
          <w:rFonts w:eastAsiaTheme="majorEastAsia"/>
        </w:rPr>
        <w:t>4</w:t>
      </w:r>
      <w:r w:rsidRPr="1EC77613">
        <w:rPr>
          <w:rStyle w:val="normaltextrun"/>
          <w:rFonts w:eastAsiaTheme="majorEastAsia"/>
        </w:rPr>
        <w:t>, 2026</w:t>
      </w:r>
    </w:p>
    <w:p w14:paraId="15F956CF" w14:textId="77777777" w:rsidR="008947CF" w:rsidRDefault="008947CF" w:rsidP="008947C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07FE518" w14:textId="32A77DAB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Subcommittee recommends that the Land Use Committee approve the Petition.</w:t>
      </w:r>
    </w:p>
    <w:p w14:paraId="65848F8D" w14:textId="5E7E6271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 </w:t>
      </w:r>
    </w:p>
    <w:p w14:paraId="2983F927" w14:textId="5E8CE6C8" w:rsidR="008947CF" w:rsidRDefault="4B5DAD2B" w:rsidP="00D931FE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textAlignment w:val="baseline"/>
      </w:pPr>
      <w:r w:rsidRPr="7A194EA2">
        <w:rPr>
          <w:rStyle w:val="normaltextrun"/>
          <w:rFonts w:eastAsiaTheme="majorEastAsia"/>
          <w:b/>
          <w:bCs/>
          <w:color w:val="000000" w:themeColor="text1"/>
        </w:rPr>
        <w:t>In Favor:</w:t>
      </w:r>
      <w:r w:rsidR="008947CF">
        <w:tab/>
      </w:r>
      <w:r w:rsidRPr="7A194EA2">
        <w:rPr>
          <w:rStyle w:val="normaltextrun"/>
          <w:rFonts w:eastAsiaTheme="majorEastAsia"/>
          <w:b/>
          <w:bCs/>
          <w:color w:val="000000" w:themeColor="text1"/>
        </w:rPr>
        <w:t>Against:</w:t>
      </w:r>
      <w:r w:rsidR="008947CF">
        <w:tab/>
      </w:r>
      <w:r w:rsidRPr="7A194EA2">
        <w:rPr>
          <w:rStyle w:val="normaltextrun"/>
          <w:rFonts w:eastAsiaTheme="majorEastAsia"/>
          <w:b/>
          <w:bCs/>
          <w:color w:val="000000" w:themeColor="text1"/>
        </w:rPr>
        <w:t>Abstain: </w:t>
      </w:r>
    </w:p>
    <w:p w14:paraId="15CF486C" w14:textId="361A2C2C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Louis</w:t>
      </w:r>
      <w:r>
        <w:tab/>
      </w:r>
      <w:r w:rsidRPr="7A194EA2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proofErr w:type="spellStart"/>
      <w:r w:rsidRPr="7A194EA2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39EBA627" w14:textId="21C97932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Farias</w:t>
      </w:r>
    </w:p>
    <w:p w14:paraId="23FB5C66" w14:textId="0B2960C0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Schulman</w:t>
      </w:r>
    </w:p>
    <w:p w14:paraId="24A2E772" w14:textId="362A1AEA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Salaa</w:t>
      </w:r>
    </w:p>
    <w:p w14:paraId="49FCC524" w14:textId="030F72B5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Felder</w:t>
      </w:r>
    </w:p>
    <w:p w14:paraId="31AB4DDA" w14:textId="43CBAE3F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0D5C20C4" w14:textId="03C669F3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015A6AC8" w14:textId="251D6968" w:rsidR="2B875576" w:rsidRDefault="2B875576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A194EA2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098BCBDE" w14:textId="13BDF045" w:rsidR="7A194EA2" w:rsidRDefault="7A194EA2" w:rsidP="7A194EA2">
      <w:pPr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7A315348" w14:textId="1BD6DB69" w:rsidR="7A194EA2" w:rsidRDefault="7A194EA2" w:rsidP="7A194EA2">
      <w:pPr>
        <w:pStyle w:val="paragraph"/>
        <w:spacing w:before="0" w:beforeAutospacing="0" w:after="0" w:afterAutospacing="0"/>
        <w:rPr>
          <w:rStyle w:val="normaltextrun"/>
          <w:rFonts w:eastAsiaTheme="majorEastAsia"/>
          <w:b/>
          <w:bCs/>
          <w:color w:val="000000" w:themeColor="text1"/>
        </w:rPr>
      </w:pPr>
    </w:p>
    <w:p w14:paraId="13A62044" w14:textId="31937673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7308BAB" w14:textId="0133D4C0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u w:val="single"/>
        </w:rPr>
        <w:lastRenderedPageBreak/>
        <w:t>COMMITTEE ACTION</w:t>
      </w:r>
    </w:p>
    <w:p w14:paraId="4C6B1D73" w14:textId="3C757B5A" w:rsidR="008947CF" w:rsidRDefault="008947CF" w:rsidP="008947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AA8D891" w14:textId="77777777" w:rsidR="008947CF" w:rsidRDefault="008947CF" w:rsidP="008947C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 </w:t>
      </w:r>
      <w:r>
        <w:rPr>
          <w:rStyle w:val="normaltextrun"/>
          <w:rFonts w:eastAsiaTheme="majorEastAsia"/>
        </w:rPr>
        <w:t>April 15, 2026</w:t>
      </w:r>
    </w:p>
    <w:p w14:paraId="251D14C7" w14:textId="2A88EBED" w:rsidR="008947CF" w:rsidRDefault="008947CF" w:rsidP="008947C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7B2DB26" w14:textId="424CFE61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The Committee recommends that the Council approve the attached resolution</w:t>
      </w:r>
      <w:r>
        <w:rPr>
          <w:rStyle w:val="eop"/>
          <w:rFonts w:eastAsiaTheme="majorEastAsia"/>
          <w:color w:val="000000"/>
          <w:bdr w:val="none" w:sz="0" w:space="0" w:color="auto" w:frame="1"/>
          <w:shd w:val="clear" w:color="auto" w:fill="C6C6C6"/>
        </w:rPr>
        <w:t xml:space="preserve">. </w:t>
      </w:r>
    </w:p>
    <w:p w14:paraId="538E3E3C" w14:textId="0C543A3A" w:rsidR="008947CF" w:rsidRDefault="008947CF" w:rsidP="008947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B474D16" w14:textId="77777777" w:rsidR="00D931FE" w:rsidRDefault="00D931FE" w:rsidP="00D931FE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textAlignment w:val="baseline"/>
      </w:pPr>
      <w:r w:rsidRPr="73BD137F">
        <w:rPr>
          <w:rStyle w:val="normaltextrun"/>
          <w:rFonts w:eastAsiaTheme="majorEastAsia"/>
          <w:b/>
          <w:bCs/>
          <w:color w:val="000000" w:themeColor="text1"/>
        </w:rPr>
        <w:t>In Favor:</w:t>
      </w:r>
      <w:r>
        <w:tab/>
      </w:r>
      <w:r w:rsidRPr="73BD137F">
        <w:rPr>
          <w:rStyle w:val="normaltextrun"/>
          <w:rFonts w:eastAsiaTheme="majorEastAsia"/>
          <w:b/>
          <w:bCs/>
          <w:color w:val="000000" w:themeColor="text1"/>
        </w:rPr>
        <w:t>Against:</w:t>
      </w:r>
      <w:r>
        <w:tab/>
      </w:r>
      <w:r w:rsidRPr="73BD137F">
        <w:rPr>
          <w:rStyle w:val="normaltextrun"/>
          <w:rFonts w:eastAsiaTheme="majorEastAsia"/>
          <w:b/>
          <w:bCs/>
          <w:color w:val="000000" w:themeColor="text1"/>
        </w:rPr>
        <w:t>Abstain: </w:t>
      </w:r>
    </w:p>
    <w:p w14:paraId="39BFDEDD" w14:textId="1DECB9FE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Riley</w:t>
      </w:r>
      <w:r w:rsidR="00D931FE">
        <w:tab/>
      </w:r>
      <w:r w:rsidR="00D931FE">
        <w:tab/>
      </w:r>
      <w:r w:rsidR="00D931FE">
        <w:tab/>
      </w:r>
      <w:r w:rsidRPr="73BD137F">
        <w:rPr>
          <w:rFonts w:ascii="Times" w:eastAsia="Times" w:hAnsi="Times" w:cs="Times"/>
          <w:color w:val="000000" w:themeColor="text1"/>
        </w:rPr>
        <w:t>None</w:t>
      </w:r>
      <w:r w:rsidR="00D931FE">
        <w:tab/>
      </w:r>
      <w:r w:rsidR="00D931FE">
        <w:tab/>
      </w:r>
      <w:r w:rsidR="00D931FE">
        <w:tab/>
      </w:r>
      <w:r w:rsidRPr="73BD137F">
        <w:rPr>
          <w:rFonts w:ascii="Times" w:eastAsia="Times" w:hAnsi="Times" w:cs="Times"/>
          <w:color w:val="000000" w:themeColor="text1"/>
        </w:rPr>
        <w:t>None</w:t>
      </w:r>
    </w:p>
    <w:p w14:paraId="7B3C2F5D" w14:textId="5003B5D5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Louis</w:t>
      </w:r>
    </w:p>
    <w:p w14:paraId="33EE1771" w14:textId="7E18FEB0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Brooks-Powers</w:t>
      </w:r>
    </w:p>
    <w:p w14:paraId="2F63BF07" w14:textId="0F2DE07D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Caban</w:t>
      </w:r>
    </w:p>
    <w:p w14:paraId="6482DFF6" w14:textId="0D5B6BAE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Abreu</w:t>
      </w:r>
    </w:p>
    <w:p w14:paraId="688CBF28" w14:textId="3C658C15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Salaam</w:t>
      </w:r>
    </w:p>
    <w:p w14:paraId="0D5B56BA" w14:textId="3D37EF9E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Banks</w:t>
      </w:r>
    </w:p>
    <w:p w14:paraId="5F33FDB4" w14:textId="454D5C50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Zhuang</w:t>
      </w:r>
    </w:p>
    <w:p w14:paraId="36A211E0" w14:textId="3F29F4F6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Encarnacion</w:t>
      </w:r>
    </w:p>
    <w:p w14:paraId="6693C17B" w14:textId="037B6DAF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J. Sanchez</w:t>
      </w:r>
    </w:p>
    <w:p w14:paraId="599FA8DF" w14:textId="31637C30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Thomas-Henry</w:t>
      </w:r>
    </w:p>
    <w:p w14:paraId="095F0302" w14:textId="34B59518" w:rsidR="00D931FE" w:rsidRDefault="11F30921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  <w:r w:rsidRPr="73BD137F">
        <w:rPr>
          <w:rFonts w:ascii="Times" w:eastAsia="Times" w:hAnsi="Times" w:cs="Times"/>
          <w:color w:val="000000" w:themeColor="text1"/>
        </w:rPr>
        <w:t>Carr</w:t>
      </w:r>
    </w:p>
    <w:p w14:paraId="25A7B4EE" w14:textId="32A39AB0" w:rsidR="00D931FE" w:rsidRDefault="00D931FE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</w:p>
    <w:p w14:paraId="67A909CC" w14:textId="0FDBF103" w:rsidR="00D931FE" w:rsidRDefault="00D931FE" w:rsidP="73BD137F">
      <w:pPr>
        <w:spacing w:after="0" w:line="240" w:lineRule="auto"/>
        <w:rPr>
          <w:rFonts w:ascii="Times" w:eastAsia="Times" w:hAnsi="Times" w:cs="Times"/>
          <w:color w:val="000000" w:themeColor="text1"/>
        </w:rPr>
      </w:pPr>
    </w:p>
    <w:p w14:paraId="10D4C37E" w14:textId="24C06F73" w:rsidR="00D931FE" w:rsidRDefault="00D931FE" w:rsidP="00D931FE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B39A6DF" w14:textId="77777777" w:rsidR="0039604D" w:rsidRDefault="0039604D" w:rsidP="00D931FE">
      <w:pPr>
        <w:pStyle w:val="paragraph"/>
        <w:spacing w:before="0" w:beforeAutospacing="0" w:after="0" w:afterAutospacing="0"/>
        <w:textAlignment w:val="baseline"/>
      </w:pPr>
    </w:p>
    <w:sectPr w:rsidR="0039604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ECA7" w14:textId="77777777" w:rsidR="00712834" w:rsidRDefault="00712834">
      <w:pPr>
        <w:spacing w:after="0" w:line="240" w:lineRule="auto"/>
      </w:pPr>
      <w:r>
        <w:separator/>
      </w:r>
    </w:p>
  </w:endnote>
  <w:endnote w:type="continuationSeparator" w:id="0">
    <w:p w14:paraId="6001235F" w14:textId="77777777" w:rsidR="00712834" w:rsidRDefault="0071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94EA2" w14:paraId="49A033A4" w14:textId="77777777" w:rsidTr="7A194EA2">
      <w:trPr>
        <w:trHeight w:val="300"/>
      </w:trPr>
      <w:tc>
        <w:tcPr>
          <w:tcW w:w="3120" w:type="dxa"/>
        </w:tcPr>
        <w:p w14:paraId="5C197C9C" w14:textId="0B1150A8" w:rsidR="7A194EA2" w:rsidRDefault="7A194EA2" w:rsidP="7A194EA2">
          <w:pPr>
            <w:pStyle w:val="Header"/>
            <w:ind w:left="-115"/>
          </w:pPr>
        </w:p>
      </w:tc>
      <w:tc>
        <w:tcPr>
          <w:tcW w:w="3120" w:type="dxa"/>
        </w:tcPr>
        <w:p w14:paraId="451345C6" w14:textId="671A366E" w:rsidR="7A194EA2" w:rsidRDefault="7A194EA2" w:rsidP="7A194EA2">
          <w:pPr>
            <w:pStyle w:val="Header"/>
            <w:jc w:val="center"/>
          </w:pPr>
        </w:p>
      </w:tc>
      <w:tc>
        <w:tcPr>
          <w:tcW w:w="3120" w:type="dxa"/>
        </w:tcPr>
        <w:p w14:paraId="5F121244" w14:textId="520FC74D" w:rsidR="7A194EA2" w:rsidRDefault="7A194EA2" w:rsidP="7A194EA2">
          <w:pPr>
            <w:pStyle w:val="Header"/>
            <w:ind w:right="-115"/>
            <w:jc w:val="right"/>
          </w:pPr>
        </w:p>
      </w:tc>
    </w:tr>
  </w:tbl>
  <w:p w14:paraId="0A8C6570" w14:textId="67E98E14" w:rsidR="7A194EA2" w:rsidRDefault="7A194EA2" w:rsidP="7A194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94EA2" w14:paraId="7A95202B" w14:textId="77777777" w:rsidTr="7A194EA2">
      <w:trPr>
        <w:trHeight w:val="300"/>
      </w:trPr>
      <w:tc>
        <w:tcPr>
          <w:tcW w:w="3120" w:type="dxa"/>
        </w:tcPr>
        <w:p w14:paraId="047BC5CF" w14:textId="719158D0" w:rsidR="7A194EA2" w:rsidRDefault="7A194EA2" w:rsidP="7A194EA2">
          <w:pPr>
            <w:pStyle w:val="Header"/>
            <w:ind w:left="-115"/>
          </w:pPr>
        </w:p>
      </w:tc>
      <w:tc>
        <w:tcPr>
          <w:tcW w:w="3120" w:type="dxa"/>
        </w:tcPr>
        <w:p w14:paraId="4F03210E" w14:textId="78C43302" w:rsidR="7A194EA2" w:rsidRDefault="7A194EA2" w:rsidP="7A194EA2">
          <w:pPr>
            <w:pStyle w:val="Header"/>
            <w:jc w:val="center"/>
          </w:pPr>
        </w:p>
      </w:tc>
      <w:tc>
        <w:tcPr>
          <w:tcW w:w="3120" w:type="dxa"/>
        </w:tcPr>
        <w:p w14:paraId="6D580B2F" w14:textId="1FA9DE5E" w:rsidR="7A194EA2" w:rsidRDefault="7A194EA2" w:rsidP="7A194EA2">
          <w:pPr>
            <w:pStyle w:val="Header"/>
            <w:ind w:right="-115"/>
            <w:jc w:val="right"/>
          </w:pPr>
        </w:p>
      </w:tc>
    </w:tr>
  </w:tbl>
  <w:p w14:paraId="72CB6550" w14:textId="7731F115" w:rsidR="7A194EA2" w:rsidRDefault="7A194EA2" w:rsidP="7A194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5686" w14:textId="77777777" w:rsidR="00712834" w:rsidRDefault="00712834">
      <w:pPr>
        <w:spacing w:after="0" w:line="240" w:lineRule="auto"/>
      </w:pPr>
      <w:r>
        <w:separator/>
      </w:r>
    </w:p>
  </w:footnote>
  <w:footnote w:type="continuationSeparator" w:id="0">
    <w:p w14:paraId="6C49AC4D" w14:textId="77777777" w:rsidR="00712834" w:rsidRDefault="0071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94EA2" w14:paraId="41A7E0C8" w14:textId="77777777" w:rsidTr="7A194EA2">
      <w:trPr>
        <w:trHeight w:val="300"/>
      </w:trPr>
      <w:tc>
        <w:tcPr>
          <w:tcW w:w="3120" w:type="dxa"/>
        </w:tcPr>
        <w:p w14:paraId="08D0C2D5" w14:textId="1A562696" w:rsidR="7A194EA2" w:rsidRDefault="7A194EA2" w:rsidP="7A194EA2">
          <w:pPr>
            <w:pStyle w:val="Head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7A194EA2">
            <w:rPr>
              <w:rFonts w:ascii="Times New Roman" w:eastAsia="Times New Roman" w:hAnsi="Times New Roman" w:cs="Times New Roman"/>
              <w:b/>
              <w:bCs/>
              <w:color w:val="000000" w:themeColor="text1"/>
            </w:rPr>
            <w:t>Page 2 of 2</w:t>
          </w:r>
          <w:r w:rsidRPr="7A194EA2">
            <w:rPr>
              <w:rFonts w:ascii="Times New Roman" w:eastAsia="Times New Roman" w:hAnsi="Times New Roman" w:cs="Times New Roman"/>
              <w:color w:val="000000" w:themeColor="text1"/>
            </w:rPr>
            <w:t> </w:t>
          </w:r>
        </w:p>
        <w:p w14:paraId="6B7D417A" w14:textId="32CD9F97" w:rsidR="7A194EA2" w:rsidRDefault="7A194EA2" w:rsidP="7A194EA2">
          <w:pPr>
            <w:pStyle w:val="Header"/>
          </w:pPr>
          <w:r w:rsidRPr="7A194EA2">
            <w:rPr>
              <w:rFonts w:ascii="Times New Roman" w:eastAsia="Times New Roman" w:hAnsi="Times New Roman" w:cs="Times New Roman"/>
              <w:b/>
              <w:bCs/>
              <w:color w:val="000000" w:themeColor="text1"/>
            </w:rPr>
            <w:t>D 2650051365 SWX</w:t>
          </w:r>
        </w:p>
        <w:p w14:paraId="3DF03D36" w14:textId="2EA98EE7" w:rsidR="7A194EA2" w:rsidRDefault="7A194EA2" w:rsidP="7A194EA2">
          <w:pPr>
            <w:pStyle w:val="Header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7A194EA2">
            <w:rPr>
              <w:rFonts w:ascii="Times New Roman" w:eastAsia="Times New Roman" w:hAnsi="Times New Roman" w:cs="Times New Roman"/>
              <w:b/>
              <w:bCs/>
              <w:color w:val="000000" w:themeColor="text1"/>
              <w:lang w:val="es-ES"/>
            </w:rPr>
            <w:t>L.U. No. 49 (Res. No. ___)</w:t>
          </w:r>
          <w:r w:rsidRPr="7A194EA2">
            <w:rPr>
              <w:rFonts w:ascii="Times New Roman" w:eastAsia="Times New Roman" w:hAnsi="Times New Roman" w:cs="Times New Roman"/>
              <w:color w:val="000000" w:themeColor="text1"/>
              <w:lang w:val="es-ES"/>
            </w:rPr>
            <w:t> </w:t>
          </w:r>
        </w:p>
        <w:p w14:paraId="495B2B4F" w14:textId="68EC5BCB" w:rsidR="7A194EA2" w:rsidRDefault="7A194EA2" w:rsidP="7A194EA2">
          <w:pPr>
            <w:pStyle w:val="Header"/>
            <w:ind w:left="-115"/>
          </w:pPr>
        </w:p>
      </w:tc>
      <w:tc>
        <w:tcPr>
          <w:tcW w:w="3120" w:type="dxa"/>
        </w:tcPr>
        <w:p w14:paraId="187479FE" w14:textId="7AF91E08" w:rsidR="7A194EA2" w:rsidRDefault="7A194EA2" w:rsidP="7A194EA2">
          <w:pPr>
            <w:pStyle w:val="Header"/>
            <w:jc w:val="center"/>
          </w:pPr>
        </w:p>
      </w:tc>
      <w:tc>
        <w:tcPr>
          <w:tcW w:w="3120" w:type="dxa"/>
        </w:tcPr>
        <w:p w14:paraId="4DFC9CA3" w14:textId="67648A9E" w:rsidR="7A194EA2" w:rsidRDefault="7A194EA2" w:rsidP="7A194EA2">
          <w:pPr>
            <w:pStyle w:val="Header"/>
            <w:ind w:right="-115"/>
            <w:jc w:val="right"/>
          </w:pPr>
        </w:p>
      </w:tc>
    </w:tr>
  </w:tbl>
  <w:p w14:paraId="2D91E8D8" w14:textId="4AFD603D" w:rsidR="7A194EA2" w:rsidRDefault="7A194EA2" w:rsidP="7A194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94EA2" w14:paraId="6D547485" w14:textId="77777777" w:rsidTr="7A194EA2">
      <w:trPr>
        <w:trHeight w:val="300"/>
      </w:trPr>
      <w:tc>
        <w:tcPr>
          <w:tcW w:w="3120" w:type="dxa"/>
        </w:tcPr>
        <w:p w14:paraId="11A67A83" w14:textId="1BFD4111" w:rsidR="7A194EA2" w:rsidRDefault="7A194EA2" w:rsidP="7A194EA2">
          <w:pPr>
            <w:pStyle w:val="Header"/>
            <w:ind w:left="-115"/>
          </w:pPr>
        </w:p>
      </w:tc>
      <w:tc>
        <w:tcPr>
          <w:tcW w:w="3120" w:type="dxa"/>
        </w:tcPr>
        <w:p w14:paraId="4B040CCF" w14:textId="31396E91" w:rsidR="7A194EA2" w:rsidRDefault="7A194EA2" w:rsidP="7A194EA2">
          <w:pPr>
            <w:pStyle w:val="Header"/>
            <w:jc w:val="center"/>
          </w:pPr>
        </w:p>
      </w:tc>
      <w:tc>
        <w:tcPr>
          <w:tcW w:w="3120" w:type="dxa"/>
        </w:tcPr>
        <w:p w14:paraId="40963364" w14:textId="3001E596" w:rsidR="7A194EA2" w:rsidRDefault="7A194EA2" w:rsidP="7A194EA2">
          <w:pPr>
            <w:pStyle w:val="Header"/>
            <w:ind w:right="-115"/>
            <w:jc w:val="right"/>
          </w:pPr>
        </w:p>
      </w:tc>
    </w:tr>
  </w:tbl>
  <w:p w14:paraId="2A048208" w14:textId="5C2F950F" w:rsidR="7A194EA2" w:rsidRDefault="7A194EA2" w:rsidP="7A194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CF"/>
    <w:rsid w:val="002C230F"/>
    <w:rsid w:val="003320BA"/>
    <w:rsid w:val="0039604D"/>
    <w:rsid w:val="003E6581"/>
    <w:rsid w:val="00414BFF"/>
    <w:rsid w:val="00607EFD"/>
    <w:rsid w:val="00712834"/>
    <w:rsid w:val="00742CC4"/>
    <w:rsid w:val="007E4DE1"/>
    <w:rsid w:val="008947CF"/>
    <w:rsid w:val="00950BAE"/>
    <w:rsid w:val="00A3134A"/>
    <w:rsid w:val="00CC75E7"/>
    <w:rsid w:val="00D931FE"/>
    <w:rsid w:val="00DC1BB3"/>
    <w:rsid w:val="075063B6"/>
    <w:rsid w:val="094656B1"/>
    <w:rsid w:val="094B10D1"/>
    <w:rsid w:val="11318B3C"/>
    <w:rsid w:val="11F30921"/>
    <w:rsid w:val="1509BC86"/>
    <w:rsid w:val="19C8D1F2"/>
    <w:rsid w:val="1C1835E8"/>
    <w:rsid w:val="1EC77613"/>
    <w:rsid w:val="2074BEA1"/>
    <w:rsid w:val="212A2901"/>
    <w:rsid w:val="28274063"/>
    <w:rsid w:val="2B875576"/>
    <w:rsid w:val="2D40E6A5"/>
    <w:rsid w:val="430623FF"/>
    <w:rsid w:val="4B5DAD2B"/>
    <w:rsid w:val="556B0687"/>
    <w:rsid w:val="69DBDF07"/>
    <w:rsid w:val="71FAC5E9"/>
    <w:rsid w:val="73BD137F"/>
    <w:rsid w:val="7A194EA2"/>
    <w:rsid w:val="7D29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16A7"/>
  <w15:chartTrackingRefBased/>
  <w15:docId w15:val="{291F9EC2-C2DE-4284-80BF-61B1D5D5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7C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9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8947CF"/>
  </w:style>
  <w:style w:type="character" w:customStyle="1" w:styleId="normaltextrun">
    <w:name w:val="normaltextrun"/>
    <w:basedOn w:val="DefaultParagraphFont"/>
    <w:rsid w:val="008947CF"/>
  </w:style>
  <w:style w:type="character" w:customStyle="1" w:styleId="eop">
    <w:name w:val="eop"/>
    <w:basedOn w:val="DefaultParagraphFont"/>
    <w:rsid w:val="008947CF"/>
  </w:style>
  <w:style w:type="character" w:customStyle="1" w:styleId="tabchar">
    <w:name w:val="tabchar"/>
    <w:basedOn w:val="DefaultParagraphFont"/>
    <w:rsid w:val="008947CF"/>
  </w:style>
  <w:style w:type="paragraph" w:styleId="Header">
    <w:name w:val="header"/>
    <w:basedOn w:val="Normal"/>
    <w:uiPriority w:val="99"/>
    <w:unhideWhenUsed/>
    <w:rsid w:val="7A194EA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A194EA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5A94CE-04BE-42DA-B7BB-76DB32997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4CD4A-04DA-473B-8EFF-FC516CF28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2F60D-6615-44AA-92FA-3144C853D895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4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2026-04-16T15:30:00Z</dcterms:created>
  <dcterms:modified xsi:type="dcterms:W3CDTF">2026-04-16T15:30:00Z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