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B4E3C" w14:textId="66870E25" w:rsidR="00B636FD" w:rsidRDefault="001D480C">
      <w:pPr>
        <w:pStyle w:val="BodyText"/>
        <w:spacing w:before="79"/>
        <w:ind w:right="357" w:firstLine="0"/>
        <w:jc w:val="center"/>
      </w:pPr>
      <w:r>
        <w:t>Res.</w:t>
      </w:r>
      <w:r>
        <w:rPr>
          <w:spacing w:val="-1"/>
        </w:rPr>
        <w:t xml:space="preserve"> </w:t>
      </w:r>
      <w:r>
        <w:rPr>
          <w:spacing w:val="-5"/>
        </w:rPr>
        <w:t>No.</w:t>
      </w:r>
      <w:r w:rsidR="00DE4D67">
        <w:rPr>
          <w:spacing w:val="-5"/>
        </w:rPr>
        <w:t xml:space="preserve"> </w:t>
      </w:r>
      <w:r w:rsidR="005F6766">
        <w:rPr>
          <w:spacing w:val="-5"/>
        </w:rPr>
        <w:t xml:space="preserve"> 422</w:t>
      </w:r>
    </w:p>
    <w:p w14:paraId="7BB519ED" w14:textId="77777777" w:rsidR="00B636FD" w:rsidRDefault="00B636FD">
      <w:pPr>
        <w:pStyle w:val="BodyText"/>
        <w:ind w:firstLine="0"/>
        <w:jc w:val="left"/>
      </w:pPr>
    </w:p>
    <w:p w14:paraId="5C4F35B9" w14:textId="77777777" w:rsidR="00DE4D67" w:rsidRPr="00DE4D67" w:rsidRDefault="00DE4D67" w:rsidP="006F7C3B">
      <w:pPr>
        <w:pStyle w:val="BodyText"/>
        <w:spacing w:before="1"/>
        <w:ind w:right="353" w:firstLine="0"/>
        <w:rPr>
          <w:vanish/>
        </w:rPr>
      </w:pPr>
      <w:r w:rsidRPr="00DE4D67">
        <w:rPr>
          <w:vanish/>
        </w:rPr>
        <w:t>..Title</w:t>
      </w:r>
    </w:p>
    <w:p w14:paraId="7B94EEBC" w14:textId="54A51624" w:rsidR="006470DF" w:rsidRDefault="001D480C" w:rsidP="006F7C3B">
      <w:pPr>
        <w:pStyle w:val="BodyText"/>
        <w:spacing w:before="1"/>
        <w:ind w:right="353" w:firstLine="0"/>
      </w:pPr>
      <w:r>
        <w:t>Resolution calling upon the New York State Public Service Commission to</w:t>
      </w:r>
      <w:r w:rsidR="006470DF">
        <w:t xml:space="preserve"> issue an emergency rule restricting Con Edison’s ability to apply its interconnection methodology which has increased costs for battery storage facilities located in networks that the company deems constrained</w:t>
      </w:r>
    </w:p>
    <w:p w14:paraId="7FF22AE1" w14:textId="33B2E347" w:rsidR="00DE4D67" w:rsidRPr="00DE4D67" w:rsidRDefault="00DE4D67" w:rsidP="006F7C3B">
      <w:pPr>
        <w:pStyle w:val="BodyText"/>
        <w:spacing w:before="1"/>
        <w:ind w:right="353" w:firstLine="0"/>
        <w:rPr>
          <w:vanish/>
        </w:rPr>
      </w:pPr>
      <w:r w:rsidRPr="00DE4D67">
        <w:rPr>
          <w:vanish/>
        </w:rPr>
        <w:t>..Body</w:t>
      </w:r>
    </w:p>
    <w:p w14:paraId="2B0CEFB0" w14:textId="77777777" w:rsidR="00B636FD" w:rsidRDefault="00B636FD" w:rsidP="006470DF">
      <w:pPr>
        <w:pStyle w:val="BodyText"/>
        <w:ind w:right="358" w:firstLine="0"/>
      </w:pPr>
    </w:p>
    <w:p w14:paraId="2A53F267" w14:textId="77777777" w:rsidR="00B636FD" w:rsidRDefault="001D480C">
      <w:pPr>
        <w:pStyle w:val="BodyText"/>
        <w:ind w:firstLine="0"/>
      </w:pPr>
      <w:r>
        <w:t>By</w:t>
      </w:r>
      <w:r>
        <w:rPr>
          <w:spacing w:val="-1"/>
        </w:rPr>
        <w:t xml:space="preserve"> </w:t>
      </w:r>
      <w:r>
        <w:t>Council</w:t>
      </w:r>
      <w:r>
        <w:rPr>
          <w:spacing w:val="-1"/>
        </w:rPr>
        <w:t xml:space="preserve"> </w:t>
      </w:r>
      <w:r>
        <w:t>Member</w:t>
      </w:r>
      <w:r>
        <w:rPr>
          <w:spacing w:val="-2"/>
        </w:rPr>
        <w:t xml:space="preserve"> Nurse</w:t>
      </w:r>
    </w:p>
    <w:p w14:paraId="71872D7C" w14:textId="77777777" w:rsidR="00B636FD" w:rsidRDefault="00B636FD">
      <w:pPr>
        <w:pStyle w:val="BodyText"/>
        <w:ind w:firstLine="0"/>
        <w:jc w:val="left"/>
      </w:pPr>
    </w:p>
    <w:p w14:paraId="69E8E69B" w14:textId="77777777" w:rsidR="00B636FD" w:rsidRDefault="001D480C">
      <w:pPr>
        <w:pStyle w:val="BodyText"/>
        <w:spacing w:line="480" w:lineRule="auto"/>
        <w:ind w:right="357"/>
      </w:pPr>
      <w:r>
        <w:t>Whereas, In the 21</w:t>
      </w:r>
      <w:r>
        <w:rPr>
          <w:vertAlign w:val="superscript"/>
        </w:rPr>
        <w:t>st</w:t>
      </w:r>
      <w:r>
        <w:t xml:space="preserve"> century, New Yorkers have experienced many of the effects of the climate</w:t>
      </w:r>
      <w:r>
        <w:rPr>
          <w:spacing w:val="-14"/>
        </w:rPr>
        <w:t xml:space="preserve"> </w:t>
      </w:r>
      <w:r>
        <w:t>crisis,</w:t>
      </w:r>
      <w:r>
        <w:rPr>
          <w:spacing w:val="-12"/>
        </w:rPr>
        <w:t xml:space="preserve"> </w:t>
      </w:r>
      <w:r>
        <w:t>including</w:t>
      </w:r>
      <w:r>
        <w:rPr>
          <w:spacing w:val="-12"/>
        </w:rPr>
        <w:t xml:space="preserve"> </w:t>
      </w:r>
      <w:r>
        <w:t>repeated</w:t>
      </w:r>
      <w:r>
        <w:rPr>
          <w:spacing w:val="-11"/>
        </w:rPr>
        <w:t xml:space="preserve"> </w:t>
      </w:r>
      <w:r>
        <w:t>hurricanes</w:t>
      </w:r>
      <w:r>
        <w:rPr>
          <w:spacing w:val="-10"/>
        </w:rPr>
        <w:t xml:space="preserve"> </w:t>
      </w:r>
      <w:r>
        <w:t>and</w:t>
      </w:r>
      <w:r>
        <w:rPr>
          <w:spacing w:val="-13"/>
        </w:rPr>
        <w:t xml:space="preserve"> </w:t>
      </w:r>
      <w:r>
        <w:t>tropical</w:t>
      </w:r>
      <w:r>
        <w:rPr>
          <w:spacing w:val="-13"/>
        </w:rPr>
        <w:t xml:space="preserve"> </w:t>
      </w:r>
      <w:r>
        <w:t>storms,</w:t>
      </w:r>
      <w:r>
        <w:rPr>
          <w:spacing w:val="-13"/>
        </w:rPr>
        <w:t xml:space="preserve"> </w:t>
      </w:r>
      <w:r>
        <w:t>both</w:t>
      </w:r>
      <w:r>
        <w:rPr>
          <w:spacing w:val="-13"/>
        </w:rPr>
        <w:t xml:space="preserve"> </w:t>
      </w:r>
      <w:r>
        <w:t>coastal</w:t>
      </w:r>
      <w:r>
        <w:rPr>
          <w:spacing w:val="-13"/>
        </w:rPr>
        <w:t xml:space="preserve"> </w:t>
      </w:r>
      <w:r>
        <w:t>and</w:t>
      </w:r>
      <w:r>
        <w:rPr>
          <w:spacing w:val="-13"/>
        </w:rPr>
        <w:t xml:space="preserve"> </w:t>
      </w:r>
      <w:r>
        <w:t>pluvial</w:t>
      </w:r>
      <w:r>
        <w:rPr>
          <w:spacing w:val="-13"/>
        </w:rPr>
        <w:t xml:space="preserve"> </w:t>
      </w:r>
      <w:r>
        <w:t>flooding, sea level rise, heat waves, and severe snow events; and</w:t>
      </w:r>
    </w:p>
    <w:p w14:paraId="26E3AC31" w14:textId="2E614F08" w:rsidR="00B636FD" w:rsidRDefault="001D480C">
      <w:pPr>
        <w:pStyle w:val="BodyText"/>
        <w:spacing w:before="1" w:line="480" w:lineRule="auto"/>
        <w:ind w:right="357"/>
      </w:pPr>
      <w:r>
        <w:t>Whereas,</w:t>
      </w:r>
      <w:r>
        <w:rPr>
          <w:spacing w:val="-15"/>
        </w:rPr>
        <w:t xml:space="preserve"> </w:t>
      </w:r>
      <w:r>
        <w:t>The</w:t>
      </w:r>
      <w:r>
        <w:rPr>
          <w:spacing w:val="-15"/>
        </w:rPr>
        <w:t xml:space="preserve"> </w:t>
      </w:r>
      <w:r>
        <w:t>effects</w:t>
      </w:r>
      <w:r>
        <w:rPr>
          <w:spacing w:val="-15"/>
        </w:rPr>
        <w:t xml:space="preserve"> </w:t>
      </w:r>
      <w:r>
        <w:t>of</w:t>
      </w:r>
      <w:r>
        <w:rPr>
          <w:spacing w:val="-15"/>
        </w:rPr>
        <w:t xml:space="preserve"> </w:t>
      </w:r>
      <w:r>
        <w:t>climate</w:t>
      </w:r>
      <w:r>
        <w:rPr>
          <w:spacing w:val="-15"/>
        </w:rPr>
        <w:t xml:space="preserve"> </w:t>
      </w:r>
      <w:r>
        <w:t>change</w:t>
      </w:r>
      <w:r>
        <w:rPr>
          <w:spacing w:val="-15"/>
        </w:rPr>
        <w:t xml:space="preserve"> </w:t>
      </w:r>
      <w:r>
        <w:t>are</w:t>
      </w:r>
      <w:r>
        <w:rPr>
          <w:spacing w:val="-15"/>
        </w:rPr>
        <w:t xml:space="preserve"> </w:t>
      </w:r>
      <w:r>
        <w:t>often</w:t>
      </w:r>
      <w:r>
        <w:rPr>
          <w:spacing w:val="-15"/>
        </w:rPr>
        <w:t xml:space="preserve"> </w:t>
      </w:r>
      <w:r>
        <w:t>inequitably</w:t>
      </w:r>
      <w:r>
        <w:rPr>
          <w:spacing w:val="-15"/>
        </w:rPr>
        <w:t xml:space="preserve"> </w:t>
      </w:r>
      <w:r>
        <w:t>distributed,</w:t>
      </w:r>
      <w:r>
        <w:rPr>
          <w:spacing w:val="-15"/>
        </w:rPr>
        <w:t xml:space="preserve"> </w:t>
      </w:r>
      <w:r>
        <w:t>with</w:t>
      </w:r>
      <w:r>
        <w:rPr>
          <w:spacing w:val="-15"/>
        </w:rPr>
        <w:t xml:space="preserve"> </w:t>
      </w:r>
      <w:r>
        <w:t>communities of color, children, older people, and low</w:t>
      </w:r>
      <w:r w:rsidR="00FD62B3">
        <w:t>-</w:t>
      </w:r>
      <w:r>
        <w:t>income communities, who can lack the financial and community resources to respond to weather-related disasters, more likely to experience the deleterious effects; and</w:t>
      </w:r>
    </w:p>
    <w:p w14:paraId="07518C27" w14:textId="77777777" w:rsidR="00B636FD" w:rsidRDefault="001D480C">
      <w:pPr>
        <w:pStyle w:val="BodyText"/>
        <w:spacing w:line="480" w:lineRule="auto"/>
        <w:ind w:right="355"/>
      </w:pPr>
      <w:r>
        <w:t>Whereas, According to the Intergovernmental Panel on Climate Change (“IPCC”), greenhouse</w:t>
      </w:r>
      <w:r>
        <w:rPr>
          <w:spacing w:val="-15"/>
        </w:rPr>
        <w:t xml:space="preserve"> </w:t>
      </w:r>
      <w:r>
        <w:t>gas</w:t>
      </w:r>
      <w:r>
        <w:rPr>
          <w:spacing w:val="-14"/>
        </w:rPr>
        <w:t xml:space="preserve"> </w:t>
      </w:r>
      <w:r>
        <w:t>emissions</w:t>
      </w:r>
      <w:r>
        <w:rPr>
          <w:spacing w:val="-14"/>
        </w:rPr>
        <w:t xml:space="preserve"> </w:t>
      </w:r>
      <w:r>
        <w:t>must</w:t>
      </w:r>
      <w:r>
        <w:rPr>
          <w:spacing w:val="-13"/>
        </w:rPr>
        <w:t xml:space="preserve"> </w:t>
      </w:r>
      <w:r>
        <w:t>be</w:t>
      </w:r>
      <w:r>
        <w:rPr>
          <w:spacing w:val="-15"/>
        </w:rPr>
        <w:t xml:space="preserve"> </w:t>
      </w:r>
      <w:r>
        <w:t>substantially</w:t>
      </w:r>
      <w:r>
        <w:rPr>
          <w:spacing w:val="-14"/>
        </w:rPr>
        <w:t xml:space="preserve"> </w:t>
      </w:r>
      <w:r>
        <w:t>reduced</w:t>
      </w:r>
      <w:r>
        <w:rPr>
          <w:spacing w:val="-14"/>
        </w:rPr>
        <w:t xml:space="preserve"> </w:t>
      </w:r>
      <w:r>
        <w:t>by</w:t>
      </w:r>
      <w:r>
        <w:rPr>
          <w:spacing w:val="-14"/>
        </w:rPr>
        <w:t xml:space="preserve"> </w:t>
      </w:r>
      <w:r>
        <w:t>mid-century</w:t>
      </w:r>
      <w:r>
        <w:rPr>
          <w:spacing w:val="-14"/>
        </w:rPr>
        <w:t xml:space="preserve"> </w:t>
      </w:r>
      <w:r>
        <w:t>to</w:t>
      </w:r>
      <w:r>
        <w:rPr>
          <w:spacing w:val="-14"/>
        </w:rPr>
        <w:t xml:space="preserve"> </w:t>
      </w:r>
      <w:r>
        <w:t>limit</w:t>
      </w:r>
      <w:r>
        <w:rPr>
          <w:spacing w:val="-13"/>
        </w:rPr>
        <w:t xml:space="preserve"> </w:t>
      </w:r>
      <w:r>
        <w:t>the</w:t>
      </w:r>
      <w:r>
        <w:rPr>
          <w:spacing w:val="-15"/>
        </w:rPr>
        <w:t xml:space="preserve"> </w:t>
      </w:r>
      <w:r>
        <w:t>global</w:t>
      </w:r>
      <w:r>
        <w:rPr>
          <w:spacing w:val="-14"/>
        </w:rPr>
        <w:t xml:space="preserve"> </w:t>
      </w:r>
      <w:r>
        <w:t>average temperature</w:t>
      </w:r>
      <w:r>
        <w:rPr>
          <w:spacing w:val="-1"/>
        </w:rPr>
        <w:t xml:space="preserve"> </w:t>
      </w:r>
      <w:r>
        <w:t>increase to 1.5 degrees Celsius, and no more</w:t>
      </w:r>
      <w:r>
        <w:rPr>
          <w:spacing w:val="-1"/>
        </w:rPr>
        <w:t xml:space="preserve"> </w:t>
      </w:r>
      <w:r>
        <w:t>than</w:t>
      </w:r>
      <w:r>
        <w:rPr>
          <w:spacing w:val="-1"/>
        </w:rPr>
        <w:t xml:space="preserve"> </w:t>
      </w:r>
      <w:r>
        <w:t>2 degrees Celsius, to minimize</w:t>
      </w:r>
      <w:r>
        <w:rPr>
          <w:spacing w:val="-2"/>
        </w:rPr>
        <w:t xml:space="preserve"> </w:t>
      </w:r>
      <w:r>
        <w:t>the worst impacts of climate change; and</w:t>
      </w:r>
    </w:p>
    <w:p w14:paraId="5E7A580F" w14:textId="77777777" w:rsidR="00B636FD" w:rsidRDefault="001D480C">
      <w:pPr>
        <w:pStyle w:val="BodyText"/>
        <w:spacing w:before="1" w:line="480" w:lineRule="auto"/>
        <w:ind w:right="356"/>
      </w:pPr>
      <w:r>
        <w:t>Whereas, The IPCC’s sixth assessment report, published in 2022, calls for a moratorium on</w:t>
      </w:r>
      <w:r>
        <w:rPr>
          <w:spacing w:val="-7"/>
        </w:rPr>
        <w:t xml:space="preserve"> </w:t>
      </w:r>
      <w:r>
        <w:t>constructing</w:t>
      </w:r>
      <w:r>
        <w:rPr>
          <w:spacing w:val="-7"/>
        </w:rPr>
        <w:t xml:space="preserve"> </w:t>
      </w:r>
      <w:r>
        <w:t>new</w:t>
      </w:r>
      <w:r>
        <w:rPr>
          <w:spacing w:val="-7"/>
        </w:rPr>
        <w:t xml:space="preserve"> </w:t>
      </w:r>
      <w:r>
        <w:t>fossil</w:t>
      </w:r>
      <w:r>
        <w:rPr>
          <w:spacing w:val="-6"/>
        </w:rPr>
        <w:t xml:space="preserve"> </w:t>
      </w:r>
      <w:r>
        <w:t>fuel</w:t>
      </w:r>
      <w:r>
        <w:rPr>
          <w:spacing w:val="-6"/>
        </w:rPr>
        <w:t xml:space="preserve"> </w:t>
      </w:r>
      <w:r>
        <w:t>infrastructure,</w:t>
      </w:r>
      <w:r>
        <w:rPr>
          <w:spacing w:val="-7"/>
        </w:rPr>
        <w:t xml:space="preserve"> </w:t>
      </w:r>
      <w:r>
        <w:t>stating</w:t>
      </w:r>
      <w:r>
        <w:rPr>
          <w:spacing w:val="-6"/>
        </w:rPr>
        <w:t xml:space="preserve"> </w:t>
      </w:r>
      <w:r>
        <w:t>that</w:t>
      </w:r>
      <w:r>
        <w:rPr>
          <w:spacing w:val="-7"/>
        </w:rPr>
        <w:t xml:space="preserve"> </w:t>
      </w:r>
      <w:r>
        <w:t>“without</w:t>
      </w:r>
      <w:r>
        <w:rPr>
          <w:spacing w:val="-6"/>
        </w:rPr>
        <w:t xml:space="preserve"> </w:t>
      </w:r>
      <w:r>
        <w:t>immediate</w:t>
      </w:r>
      <w:r>
        <w:rPr>
          <w:spacing w:val="-7"/>
        </w:rPr>
        <w:t xml:space="preserve"> </w:t>
      </w:r>
      <w:r>
        <w:t>and</w:t>
      </w:r>
      <w:r>
        <w:rPr>
          <w:spacing w:val="-7"/>
        </w:rPr>
        <w:t xml:space="preserve"> </w:t>
      </w:r>
      <w:r>
        <w:t>deep</w:t>
      </w:r>
      <w:r>
        <w:rPr>
          <w:spacing w:val="-4"/>
        </w:rPr>
        <w:t xml:space="preserve"> </w:t>
      </w:r>
      <w:r>
        <w:t>emissions reductions across all sectors, limiting global warming to 1.5°C is beyond reach”; and</w:t>
      </w:r>
    </w:p>
    <w:p w14:paraId="16911184" w14:textId="10C0A905" w:rsidR="00B636FD" w:rsidRDefault="001D480C">
      <w:pPr>
        <w:pStyle w:val="BodyText"/>
        <w:spacing w:before="1" w:line="480" w:lineRule="auto"/>
        <w:ind w:right="355"/>
      </w:pPr>
      <w:r>
        <w:t xml:space="preserve">Whereas, In New York City, electricity is largely generated via the combustion of fossil fuels, with approximately </w:t>
      </w:r>
      <w:r w:rsidR="00FD62B3">
        <w:t>9</w:t>
      </w:r>
      <w:r>
        <w:t>5% of the electric supply sourced from fossil-fuel combustion plants in 202</w:t>
      </w:r>
      <w:r w:rsidR="00FD62B3">
        <w:t>5</w:t>
      </w:r>
      <w:r>
        <w:t>, compared to upstate, where only 1</w:t>
      </w:r>
      <w:r w:rsidR="00FD62B3">
        <w:t>1</w:t>
      </w:r>
      <w:r>
        <w:t>% is sourced from fossil-fuel combustion plants and 8</w:t>
      </w:r>
      <w:r w:rsidR="00FD62B3">
        <w:t>9</w:t>
      </w:r>
      <w:r>
        <w:t>% of the electricity is supplied via renewable generation; and</w:t>
      </w:r>
    </w:p>
    <w:p w14:paraId="5659B52A" w14:textId="77777777" w:rsidR="00B636FD" w:rsidRDefault="00B636FD">
      <w:pPr>
        <w:pStyle w:val="BodyText"/>
        <w:spacing w:line="480" w:lineRule="auto"/>
        <w:sectPr w:rsidR="00B636FD">
          <w:type w:val="continuous"/>
          <w:pgSz w:w="12240" w:h="15840"/>
          <w:pgMar w:top="1360" w:right="1080" w:bottom="280" w:left="1440" w:header="720" w:footer="720" w:gutter="0"/>
          <w:cols w:space="720"/>
        </w:sectPr>
      </w:pPr>
    </w:p>
    <w:p w14:paraId="4A87FFA6" w14:textId="77777777" w:rsidR="00B636FD" w:rsidRDefault="001D480C">
      <w:pPr>
        <w:pStyle w:val="BodyText"/>
        <w:spacing w:before="79" w:line="480" w:lineRule="auto"/>
        <w:ind w:right="358"/>
        <w:rPr>
          <w:spacing w:val="-4"/>
        </w:rPr>
      </w:pPr>
      <w:r>
        <w:lastRenderedPageBreak/>
        <w:t>Whereas, In 2019, the New York State (NYS) Legislature passed the Climate Leadership and Community Protection Act (CLCPA), committing NYS to a net-zero carbon economy by 2050, 100 percent zero emission electrical generation by 2040, a 40 percent reduction from 1990 levels</w:t>
      </w:r>
      <w:r>
        <w:rPr>
          <w:spacing w:val="-4"/>
        </w:rPr>
        <w:t xml:space="preserve"> </w:t>
      </w:r>
      <w:r>
        <w:t>in</w:t>
      </w:r>
      <w:r>
        <w:rPr>
          <w:spacing w:val="-3"/>
        </w:rPr>
        <w:t xml:space="preserve"> </w:t>
      </w:r>
      <w:r>
        <w:t>statewide</w:t>
      </w:r>
      <w:r>
        <w:rPr>
          <w:spacing w:val="-2"/>
        </w:rPr>
        <w:t xml:space="preserve"> </w:t>
      </w:r>
      <w:r>
        <w:t>greenhouse</w:t>
      </w:r>
      <w:r>
        <w:rPr>
          <w:spacing w:val="-4"/>
        </w:rPr>
        <w:t xml:space="preserve"> </w:t>
      </w:r>
      <w:r>
        <w:t>gas</w:t>
      </w:r>
      <w:r>
        <w:rPr>
          <w:spacing w:val="-1"/>
        </w:rPr>
        <w:t xml:space="preserve"> </w:t>
      </w:r>
      <w:r>
        <w:t>emissions</w:t>
      </w:r>
      <w:r>
        <w:rPr>
          <w:spacing w:val="-4"/>
        </w:rPr>
        <w:t xml:space="preserve"> </w:t>
      </w:r>
      <w:r>
        <w:t>by</w:t>
      </w:r>
      <w:r>
        <w:rPr>
          <w:spacing w:val="-3"/>
        </w:rPr>
        <w:t xml:space="preserve"> </w:t>
      </w:r>
      <w:r>
        <w:t>2030,</w:t>
      </w:r>
      <w:r>
        <w:rPr>
          <w:spacing w:val="-3"/>
        </w:rPr>
        <w:t xml:space="preserve"> </w:t>
      </w:r>
      <w:r>
        <w:t>and</w:t>
      </w:r>
      <w:r>
        <w:rPr>
          <w:spacing w:val="-3"/>
        </w:rPr>
        <w:t xml:space="preserve"> </w:t>
      </w:r>
      <w:r>
        <w:t>70</w:t>
      </w:r>
      <w:r>
        <w:rPr>
          <w:spacing w:val="-3"/>
        </w:rPr>
        <w:t xml:space="preserve"> </w:t>
      </w:r>
      <w:r>
        <w:t>percent</w:t>
      </w:r>
      <w:r>
        <w:rPr>
          <w:spacing w:val="-3"/>
        </w:rPr>
        <w:t xml:space="preserve"> </w:t>
      </w:r>
      <w:r>
        <w:t>renewable</w:t>
      </w:r>
      <w:r>
        <w:rPr>
          <w:spacing w:val="-3"/>
        </w:rPr>
        <w:t xml:space="preserve"> </w:t>
      </w:r>
      <w:r>
        <w:t>energy</w:t>
      </w:r>
      <w:r>
        <w:rPr>
          <w:spacing w:val="-3"/>
        </w:rPr>
        <w:t xml:space="preserve"> </w:t>
      </w:r>
      <w:r>
        <w:t>by</w:t>
      </w:r>
      <w:r>
        <w:rPr>
          <w:spacing w:val="-1"/>
        </w:rPr>
        <w:t xml:space="preserve"> </w:t>
      </w:r>
      <w:r>
        <w:t xml:space="preserve">2030; </w:t>
      </w:r>
      <w:r>
        <w:rPr>
          <w:spacing w:val="-4"/>
        </w:rPr>
        <w:t>and</w:t>
      </w:r>
    </w:p>
    <w:p w14:paraId="7914FF29" w14:textId="1BAD7929" w:rsidR="006470DF" w:rsidRDefault="00FD62B3" w:rsidP="00FD62B3">
      <w:pPr>
        <w:pStyle w:val="BodyText"/>
        <w:spacing w:before="79" w:line="480" w:lineRule="auto"/>
        <w:ind w:right="358"/>
        <w:rPr>
          <w:color w:val="222222"/>
          <w:shd w:val="clear" w:color="auto" w:fill="FFFFFF"/>
        </w:rPr>
      </w:pPr>
      <w:r>
        <w:rPr>
          <w:spacing w:val="-4"/>
        </w:rPr>
        <w:t>Whereas, The New York State Energy Research and Development Authority (</w:t>
      </w:r>
      <w:r w:rsidR="00931F6F">
        <w:rPr>
          <w:spacing w:val="-4"/>
        </w:rPr>
        <w:t>“</w:t>
      </w:r>
      <w:r>
        <w:rPr>
          <w:spacing w:val="-4"/>
        </w:rPr>
        <w:t>NYSERDA</w:t>
      </w:r>
      <w:r w:rsidR="00931F6F">
        <w:rPr>
          <w:spacing w:val="-4"/>
        </w:rPr>
        <w:t>”</w:t>
      </w:r>
      <w:r>
        <w:rPr>
          <w:spacing w:val="-4"/>
        </w:rPr>
        <w:t xml:space="preserve">) has established through a </w:t>
      </w:r>
      <w:r w:rsidR="00E552F9">
        <w:rPr>
          <w:spacing w:val="-4"/>
        </w:rPr>
        <w:t xml:space="preserve">New York State </w:t>
      </w:r>
      <w:r>
        <w:rPr>
          <w:spacing w:val="-4"/>
        </w:rPr>
        <w:t xml:space="preserve">Public Service Commission </w:t>
      </w:r>
      <w:r w:rsidR="00E552F9">
        <w:rPr>
          <w:spacing w:val="-4"/>
        </w:rPr>
        <w:t>(</w:t>
      </w:r>
      <w:r w:rsidR="00931F6F">
        <w:rPr>
          <w:spacing w:val="-4"/>
        </w:rPr>
        <w:t>“</w:t>
      </w:r>
      <w:r w:rsidR="00E552F9">
        <w:rPr>
          <w:spacing w:val="-4"/>
        </w:rPr>
        <w:t>PSC</w:t>
      </w:r>
      <w:r w:rsidR="00931F6F">
        <w:rPr>
          <w:spacing w:val="-4"/>
        </w:rPr>
        <w:t>”</w:t>
      </w:r>
      <w:r w:rsidR="00E552F9">
        <w:rPr>
          <w:spacing w:val="-4"/>
        </w:rPr>
        <w:t xml:space="preserve">) </w:t>
      </w:r>
      <w:r>
        <w:rPr>
          <w:spacing w:val="-4"/>
        </w:rPr>
        <w:t xml:space="preserve">order a 6.0 GW goal of battery storage deployment, stating that in New </w:t>
      </w:r>
      <w:r w:rsidRPr="00FD62B3">
        <w:rPr>
          <w:spacing w:val="-4"/>
        </w:rPr>
        <w:t>York City, “</w:t>
      </w:r>
      <w:r w:rsidRPr="006F7C3B">
        <w:rPr>
          <w:color w:val="222222"/>
          <w:shd w:val="clear" w:color="auto" w:fill="FFFFFF"/>
        </w:rPr>
        <w:t xml:space="preserve">As fossil fueled power plants, particularly in downstate New York, reach their end-of-life and move to retire, the </w:t>
      </w:r>
      <w:r>
        <w:rPr>
          <w:color w:val="222222"/>
          <w:shd w:val="clear" w:color="auto" w:fill="FFFFFF"/>
        </w:rPr>
        <w:t>[New York Independent System Operator, or NYISO]</w:t>
      </w:r>
      <w:r w:rsidRPr="006F7C3B">
        <w:rPr>
          <w:color w:val="222222"/>
          <w:shd w:val="clear" w:color="auto" w:fill="FFFFFF"/>
        </w:rPr>
        <w:t xml:space="preserve"> and utilities will require dispatchable capacity to maintain reliability, both in terms of resource adequacy and transmission security</w:t>
      </w:r>
      <w:r w:rsidR="006470DF">
        <w:rPr>
          <w:color w:val="222222"/>
          <w:shd w:val="clear" w:color="auto" w:fill="FFFFFF"/>
        </w:rPr>
        <w:t>”; and</w:t>
      </w:r>
    </w:p>
    <w:p w14:paraId="67DFF13A" w14:textId="4A20ED59" w:rsidR="00FD62B3" w:rsidRDefault="006470DF" w:rsidP="00FD62B3">
      <w:pPr>
        <w:pStyle w:val="BodyText"/>
        <w:spacing w:before="79" w:line="480" w:lineRule="auto"/>
        <w:ind w:right="358"/>
        <w:rPr>
          <w:color w:val="222222"/>
          <w:shd w:val="clear" w:color="auto" w:fill="FFFFFF"/>
        </w:rPr>
      </w:pPr>
      <w:r>
        <w:rPr>
          <w:color w:val="222222"/>
          <w:shd w:val="clear" w:color="auto" w:fill="FFFFFF"/>
        </w:rPr>
        <w:t xml:space="preserve">Whereas, NYSERDA further states </w:t>
      </w:r>
      <w:r w:rsidR="00FD62B3" w:rsidRPr="006F7C3B">
        <w:rPr>
          <w:color w:val="222222"/>
          <w:shd w:val="clear" w:color="auto" w:fill="FFFFFF"/>
        </w:rPr>
        <w:t xml:space="preserve"> </w:t>
      </w:r>
      <w:r>
        <w:rPr>
          <w:color w:val="222222"/>
          <w:shd w:val="clear" w:color="auto" w:fill="FFFFFF"/>
        </w:rPr>
        <w:t>“</w:t>
      </w:r>
      <w:r w:rsidR="00FD62B3" w:rsidRPr="006F7C3B">
        <w:rPr>
          <w:color w:val="222222"/>
          <w:shd w:val="clear" w:color="auto" w:fill="FFFFFF"/>
        </w:rPr>
        <w:t>The ability of energy storage to provide these services makes this one of the highest-value deployment opportunities in New York and can help accelerate decarbonization in a reliable way</w:t>
      </w:r>
      <w:r w:rsidR="00FD62B3">
        <w:rPr>
          <w:color w:val="222222"/>
          <w:shd w:val="clear" w:color="auto" w:fill="FFFFFF"/>
        </w:rPr>
        <w:t>”; and</w:t>
      </w:r>
    </w:p>
    <w:p w14:paraId="14801285" w14:textId="6C3E4293" w:rsidR="00FD62B3" w:rsidRPr="006F7C3B" w:rsidRDefault="00FD62B3" w:rsidP="00FD62B3">
      <w:pPr>
        <w:pStyle w:val="BodyText"/>
        <w:spacing w:before="79" w:line="480" w:lineRule="auto"/>
        <w:ind w:right="358"/>
        <w:rPr>
          <w:color w:val="222222"/>
          <w:shd w:val="clear" w:color="auto" w:fill="FFFFFF"/>
        </w:rPr>
      </w:pPr>
      <w:r>
        <w:rPr>
          <w:color w:val="222222"/>
          <w:shd w:val="clear" w:color="auto" w:fill="FFFFFF"/>
        </w:rPr>
        <w:t xml:space="preserve">Whereas, </w:t>
      </w:r>
      <w:r w:rsidR="00E552F9">
        <w:rPr>
          <w:color w:val="222222"/>
          <w:shd w:val="clear" w:color="auto" w:fill="FFFFFF"/>
        </w:rPr>
        <w:t>as recently as</w:t>
      </w:r>
      <w:r>
        <w:rPr>
          <w:color w:val="222222"/>
          <w:shd w:val="clear" w:color="auto" w:fill="FFFFFF"/>
        </w:rPr>
        <w:t xml:space="preserve"> December 2025, the </w:t>
      </w:r>
      <w:r w:rsidR="00E552F9">
        <w:rPr>
          <w:color w:val="222222"/>
          <w:shd w:val="clear" w:color="auto" w:fill="FFFFFF"/>
        </w:rPr>
        <w:t>PSC</w:t>
      </w:r>
      <w:r>
        <w:rPr>
          <w:color w:val="222222"/>
          <w:shd w:val="clear" w:color="auto" w:fill="FFFFFF"/>
        </w:rPr>
        <w:t xml:space="preserve"> acknowledged recent studies published by NYISO and Con Edison indicating that the New York City grid will face critical reliability needs in the near term, and </w:t>
      </w:r>
      <w:r w:rsidR="00E552F9">
        <w:rPr>
          <w:color w:val="222222"/>
          <w:shd w:val="clear" w:color="auto" w:fill="FFFFFF"/>
        </w:rPr>
        <w:t>in light of</w:t>
      </w:r>
      <w:r>
        <w:rPr>
          <w:color w:val="222222"/>
          <w:shd w:val="clear" w:color="auto" w:fill="FFFFFF"/>
        </w:rPr>
        <w:t xml:space="preserve"> </w:t>
      </w:r>
      <w:r w:rsidR="006470DF">
        <w:t xml:space="preserve"> </w:t>
      </w:r>
      <w:r w:rsidRPr="00FD62B3">
        <w:t xml:space="preserve">these studies, the </w:t>
      </w:r>
      <w:r w:rsidR="00E552F9">
        <w:t>PSC</w:t>
      </w:r>
      <w:r w:rsidRPr="00FD62B3">
        <w:t xml:space="preserve"> directed Con Edison to </w:t>
      </w:r>
      <w:r w:rsidRPr="001D480C">
        <w:t>“</w:t>
      </w:r>
      <w:r w:rsidRPr="006F7C3B">
        <w:t>turn over every stone</w:t>
      </w:r>
      <w:r w:rsidRPr="001D480C">
        <w:t>” in order to maximize “</w:t>
      </w:r>
      <w:r w:rsidRPr="006F7C3B">
        <w:t>all available clean and non-emitting options</w:t>
      </w:r>
      <w:r w:rsidRPr="001D480C">
        <w:t>,”</w:t>
      </w:r>
      <w:r>
        <w:t xml:space="preserve"> pointing specifically to battery storage as a solution; and </w:t>
      </w:r>
    </w:p>
    <w:p w14:paraId="5E6752A7" w14:textId="77777777" w:rsidR="00B636FD" w:rsidRDefault="001D480C">
      <w:pPr>
        <w:pStyle w:val="BodyText"/>
        <w:spacing w:line="480" w:lineRule="auto"/>
        <w:ind w:right="352"/>
      </w:pPr>
      <w:r>
        <w:t>Whereas, Local Law 97 of 2019 requires (NYC or City) greenhouse gas emissions to be reduced by 80 percent compared to 2005 levels by 2050; and</w:t>
      </w:r>
    </w:p>
    <w:p w14:paraId="3CDAB838" w14:textId="186F3F2C" w:rsidR="00B636FD" w:rsidRDefault="001D480C">
      <w:pPr>
        <w:pStyle w:val="BodyText"/>
        <w:spacing w:before="1" w:line="480" w:lineRule="auto"/>
        <w:ind w:right="355"/>
      </w:pPr>
      <w:r>
        <w:t>Whereas,</w:t>
      </w:r>
      <w:r>
        <w:rPr>
          <w:spacing w:val="-9"/>
        </w:rPr>
        <w:t xml:space="preserve"> </w:t>
      </w:r>
      <w:r>
        <w:t>As</w:t>
      </w:r>
      <w:r>
        <w:rPr>
          <w:spacing w:val="-8"/>
        </w:rPr>
        <w:t xml:space="preserve"> </w:t>
      </w:r>
      <w:r>
        <w:t>part</w:t>
      </w:r>
      <w:r>
        <w:rPr>
          <w:spacing w:val="-10"/>
        </w:rPr>
        <w:t xml:space="preserve"> </w:t>
      </w:r>
      <w:r>
        <w:t>of</w:t>
      </w:r>
      <w:r>
        <w:rPr>
          <w:spacing w:val="-8"/>
        </w:rPr>
        <w:t xml:space="preserve"> </w:t>
      </w:r>
      <w:r>
        <w:t>the</w:t>
      </w:r>
      <w:r>
        <w:rPr>
          <w:spacing w:val="-8"/>
        </w:rPr>
        <w:t xml:space="preserve"> </w:t>
      </w:r>
      <w:r>
        <w:t>effort</w:t>
      </w:r>
      <w:r>
        <w:rPr>
          <w:spacing w:val="-10"/>
        </w:rPr>
        <w:t xml:space="preserve"> </w:t>
      </w:r>
      <w:r>
        <w:t>to</w:t>
      </w:r>
      <w:r>
        <w:rPr>
          <w:spacing w:val="-9"/>
        </w:rPr>
        <w:t xml:space="preserve"> </w:t>
      </w:r>
      <w:r>
        <w:t>meet</w:t>
      </w:r>
      <w:r>
        <w:rPr>
          <w:spacing w:val="-9"/>
        </w:rPr>
        <w:t xml:space="preserve"> </w:t>
      </w:r>
      <w:r>
        <w:t>these</w:t>
      </w:r>
      <w:r>
        <w:rPr>
          <w:spacing w:val="-8"/>
        </w:rPr>
        <w:t xml:space="preserve"> </w:t>
      </w:r>
      <w:r>
        <w:t>emissions</w:t>
      </w:r>
      <w:r>
        <w:rPr>
          <w:spacing w:val="-9"/>
        </w:rPr>
        <w:t xml:space="preserve"> </w:t>
      </w:r>
      <w:r>
        <w:t>reduction</w:t>
      </w:r>
      <w:r>
        <w:rPr>
          <w:spacing w:val="-8"/>
        </w:rPr>
        <w:t xml:space="preserve"> </w:t>
      </w:r>
      <w:r>
        <w:t>goals,</w:t>
      </w:r>
      <w:r>
        <w:rPr>
          <w:spacing w:val="-5"/>
        </w:rPr>
        <w:t xml:space="preserve"> </w:t>
      </w:r>
      <w:r>
        <w:t>in</w:t>
      </w:r>
      <w:r>
        <w:rPr>
          <w:spacing w:val="-9"/>
        </w:rPr>
        <w:t xml:space="preserve"> </w:t>
      </w:r>
      <w:r>
        <w:t>20</w:t>
      </w:r>
      <w:r w:rsidR="00FD62B3">
        <w:t xml:space="preserve">18, the de Blasio administration </w:t>
      </w:r>
      <w:r>
        <w:t xml:space="preserve">established a target of 500 megawatts (MW) of battery storage capacity by 2025, a goal </w:t>
      </w:r>
      <w:r w:rsidR="00FD62B3">
        <w:t xml:space="preserve">reinforced by the Adams </w:t>
      </w:r>
      <w:r>
        <w:t>admin</w:t>
      </w:r>
      <w:r w:rsidR="00FD62B3">
        <w:t xml:space="preserve"> through its Green Economy Action Plan, which </w:t>
      </w:r>
      <w:r>
        <w:t>the City fell short of reaching, with less than one fifth of the goal reached as of December 31, 2025; and</w:t>
      </w:r>
    </w:p>
    <w:p w14:paraId="057FC164" w14:textId="237C8FBE" w:rsidR="006B318D" w:rsidRDefault="006B318D">
      <w:pPr>
        <w:pStyle w:val="BodyText"/>
        <w:spacing w:line="480" w:lineRule="auto"/>
        <w:ind w:right="354"/>
      </w:pPr>
      <w:r>
        <w:lastRenderedPageBreak/>
        <w:t>Whereas, A 2024 study by the Columbia University Mailman School of Public Health and the Department of Health and Mental Hygiene found that more than 30% of City residents experience energy insecurity due to the rising cost of utility bills, with higher rates among Black and Latino residents, renters, recent immigrants, and households with children; and</w:t>
      </w:r>
    </w:p>
    <w:p w14:paraId="2DDA173C" w14:textId="201AF879" w:rsidR="00B636FD" w:rsidRDefault="001D480C">
      <w:pPr>
        <w:pStyle w:val="BodyText"/>
        <w:spacing w:line="480" w:lineRule="auto"/>
        <w:ind w:right="354"/>
      </w:pPr>
      <w:r>
        <w:t>Whereas,</w:t>
      </w:r>
      <w:r>
        <w:rPr>
          <w:spacing w:val="-15"/>
        </w:rPr>
        <w:t xml:space="preserve"> </w:t>
      </w:r>
      <w:r>
        <w:t>Battery</w:t>
      </w:r>
      <w:r>
        <w:rPr>
          <w:spacing w:val="-15"/>
        </w:rPr>
        <w:t xml:space="preserve"> </w:t>
      </w:r>
      <w:r>
        <w:t>energy</w:t>
      </w:r>
      <w:r>
        <w:rPr>
          <w:spacing w:val="-15"/>
        </w:rPr>
        <w:t xml:space="preserve"> </w:t>
      </w:r>
      <w:r>
        <w:t>storage</w:t>
      </w:r>
      <w:r>
        <w:rPr>
          <w:spacing w:val="-15"/>
        </w:rPr>
        <w:t xml:space="preserve"> </w:t>
      </w:r>
      <w:r>
        <w:t>systems</w:t>
      </w:r>
      <w:r>
        <w:rPr>
          <w:spacing w:val="-15"/>
        </w:rPr>
        <w:t xml:space="preserve"> </w:t>
      </w:r>
      <w:r>
        <w:t>(“BESS”)</w:t>
      </w:r>
      <w:r>
        <w:rPr>
          <w:spacing w:val="-15"/>
        </w:rPr>
        <w:t xml:space="preserve"> </w:t>
      </w:r>
      <w:r>
        <w:t>foster</w:t>
      </w:r>
      <w:r>
        <w:rPr>
          <w:spacing w:val="-15"/>
        </w:rPr>
        <w:t xml:space="preserve"> </w:t>
      </w:r>
      <w:r>
        <w:t>grid</w:t>
      </w:r>
      <w:r>
        <w:rPr>
          <w:spacing w:val="-15"/>
        </w:rPr>
        <w:t xml:space="preserve"> </w:t>
      </w:r>
      <w:r>
        <w:t>reliability</w:t>
      </w:r>
      <w:r>
        <w:rPr>
          <w:spacing w:val="-15"/>
        </w:rPr>
        <w:t xml:space="preserve"> </w:t>
      </w:r>
      <w:r>
        <w:t>by</w:t>
      </w:r>
      <w:r>
        <w:rPr>
          <w:spacing w:val="-15"/>
        </w:rPr>
        <w:t xml:space="preserve"> </w:t>
      </w:r>
      <w:r>
        <w:t>storing</w:t>
      </w:r>
      <w:r>
        <w:rPr>
          <w:spacing w:val="-15"/>
        </w:rPr>
        <w:t xml:space="preserve"> </w:t>
      </w:r>
      <w:r>
        <w:t>surplus energy</w:t>
      </w:r>
      <w:r>
        <w:rPr>
          <w:spacing w:val="-7"/>
        </w:rPr>
        <w:t xml:space="preserve"> </w:t>
      </w:r>
      <w:r w:rsidR="00FD62B3">
        <w:rPr>
          <w:spacing w:val="-7"/>
        </w:rPr>
        <w:t>when it is cheaper, to be used</w:t>
      </w:r>
      <w:r w:rsidR="00931F6F">
        <w:rPr>
          <w:spacing w:val="-7"/>
        </w:rPr>
        <w:t xml:space="preserve"> later</w:t>
      </w:r>
      <w:r w:rsidR="00FD62B3">
        <w:rPr>
          <w:spacing w:val="-7"/>
        </w:rPr>
        <w:t xml:space="preserve"> </w:t>
      </w:r>
      <w:r>
        <w:t>during</w:t>
      </w:r>
      <w:r>
        <w:rPr>
          <w:spacing w:val="-6"/>
        </w:rPr>
        <w:t xml:space="preserve"> </w:t>
      </w:r>
      <w:r>
        <w:t>peak</w:t>
      </w:r>
      <w:r>
        <w:rPr>
          <w:spacing w:val="-6"/>
        </w:rPr>
        <w:t xml:space="preserve"> </w:t>
      </w:r>
      <w:r w:rsidR="00B50F31">
        <w:t>demand</w:t>
      </w:r>
      <w:r w:rsidR="00B50F31">
        <w:rPr>
          <w:spacing w:val="-6"/>
        </w:rPr>
        <w:t xml:space="preserve"> </w:t>
      </w:r>
      <w:r>
        <w:t>periods; and</w:t>
      </w:r>
    </w:p>
    <w:p w14:paraId="22BA18F0" w14:textId="77777777" w:rsidR="00B636FD" w:rsidRDefault="001D480C">
      <w:pPr>
        <w:pStyle w:val="BodyText"/>
        <w:spacing w:before="1" w:line="480" w:lineRule="auto"/>
        <w:ind w:right="358"/>
      </w:pPr>
      <w:r>
        <w:t>Whereas, Using cheaper stored energy to cover grid spikes can reduce energy costs for local residents, and improve local air quality by minimizing reliance on polluting peaker plants during high demand periods; and</w:t>
      </w:r>
    </w:p>
    <w:p w14:paraId="47E9BA44" w14:textId="2C162E36" w:rsidR="001D480C" w:rsidRDefault="006B318D" w:rsidP="001D480C">
      <w:pPr>
        <w:pStyle w:val="BodyText"/>
        <w:spacing w:before="79" w:line="480" w:lineRule="auto"/>
        <w:ind w:right="358"/>
      </w:pPr>
      <w:r>
        <w:rPr>
          <w:spacing w:val="-6"/>
        </w:rPr>
        <w:t xml:space="preserve">Whereas, </w:t>
      </w:r>
      <w:r>
        <w:t>Modern</w:t>
      </w:r>
      <w:r>
        <w:rPr>
          <w:spacing w:val="-7"/>
        </w:rPr>
        <w:t xml:space="preserve"> </w:t>
      </w:r>
      <w:r>
        <w:t>battery</w:t>
      </w:r>
      <w:r>
        <w:rPr>
          <w:spacing w:val="-6"/>
        </w:rPr>
        <w:t xml:space="preserve"> </w:t>
      </w:r>
      <w:r>
        <w:t>storage</w:t>
      </w:r>
      <w:r>
        <w:rPr>
          <w:spacing w:val="-7"/>
        </w:rPr>
        <w:t xml:space="preserve"> </w:t>
      </w:r>
      <w:r>
        <w:t>systems</w:t>
      </w:r>
      <w:r>
        <w:rPr>
          <w:spacing w:val="-4"/>
        </w:rPr>
        <w:t xml:space="preserve"> </w:t>
      </w:r>
      <w:r>
        <w:t>consist</w:t>
      </w:r>
      <w:r>
        <w:rPr>
          <w:spacing w:val="-8"/>
        </w:rPr>
        <w:t xml:space="preserve"> </w:t>
      </w:r>
      <w:r>
        <w:t>of</w:t>
      </w:r>
      <w:r>
        <w:rPr>
          <w:spacing w:val="-7"/>
        </w:rPr>
        <w:t xml:space="preserve"> </w:t>
      </w:r>
      <w:r>
        <w:t>large</w:t>
      </w:r>
      <w:r>
        <w:rPr>
          <w:spacing w:val="-7"/>
        </w:rPr>
        <w:t xml:space="preserve"> </w:t>
      </w:r>
      <w:r>
        <w:t>banks</w:t>
      </w:r>
      <w:r>
        <w:rPr>
          <w:spacing w:val="-6"/>
        </w:rPr>
        <w:t xml:space="preserve"> </w:t>
      </w:r>
      <w:r>
        <w:t>of</w:t>
      </w:r>
      <w:r>
        <w:rPr>
          <w:spacing w:val="-7"/>
        </w:rPr>
        <w:t xml:space="preserve"> </w:t>
      </w:r>
      <w:r>
        <w:t>multiple</w:t>
      </w:r>
      <w:r>
        <w:rPr>
          <w:spacing w:val="-7"/>
        </w:rPr>
        <w:t xml:space="preserve"> </w:t>
      </w:r>
      <w:r>
        <w:t>battery</w:t>
      </w:r>
      <w:r>
        <w:rPr>
          <w:spacing w:val="-7"/>
        </w:rPr>
        <w:t xml:space="preserve"> </w:t>
      </w:r>
      <w:r>
        <w:t>packs linked together with safety monitoring equipment and climate control systems, and have become safer as best practice protocols have been established, with the failure rate of grid-scale energy storage systems dropping by 98 percent between 2018 and 2024 despite a significant increase in global deployed capacity; and</w:t>
      </w:r>
    </w:p>
    <w:p w14:paraId="70791B3B" w14:textId="22EF0D9B" w:rsidR="00B636FD" w:rsidRDefault="001D480C" w:rsidP="001D480C">
      <w:pPr>
        <w:pStyle w:val="BodyText"/>
        <w:spacing w:before="79" w:line="480" w:lineRule="auto"/>
        <w:ind w:right="358"/>
      </w:pPr>
      <w:r>
        <w:t>Whereas, In August of 2025, without prior approval from regulators, Con Edison announced</w:t>
      </w:r>
      <w:r>
        <w:rPr>
          <w:spacing w:val="-1"/>
        </w:rPr>
        <w:t xml:space="preserve"> </w:t>
      </w:r>
      <w:r>
        <w:t>that</w:t>
      </w:r>
      <w:r>
        <w:rPr>
          <w:spacing w:val="-1"/>
        </w:rPr>
        <w:t xml:space="preserve"> </w:t>
      </w:r>
      <w:r>
        <w:t>it</w:t>
      </w:r>
      <w:r>
        <w:rPr>
          <w:spacing w:val="-1"/>
        </w:rPr>
        <w:t xml:space="preserve"> </w:t>
      </w:r>
      <w:r>
        <w:t>was</w:t>
      </w:r>
      <w:r>
        <w:rPr>
          <w:spacing w:val="-1"/>
        </w:rPr>
        <w:t xml:space="preserve"> </w:t>
      </w:r>
      <w:r>
        <w:t>changing</w:t>
      </w:r>
      <w:r>
        <w:rPr>
          <w:spacing w:val="-1"/>
        </w:rPr>
        <w:t xml:space="preserve"> </w:t>
      </w:r>
      <w:r>
        <w:t>the</w:t>
      </w:r>
      <w:r>
        <w:rPr>
          <w:spacing w:val="-2"/>
        </w:rPr>
        <w:t xml:space="preserve"> </w:t>
      </w:r>
      <w:r>
        <w:t>method</w:t>
      </w:r>
      <w:r>
        <w:rPr>
          <w:spacing w:val="-1"/>
        </w:rPr>
        <w:t xml:space="preserve"> </w:t>
      </w:r>
      <w:r>
        <w:t>by</w:t>
      </w:r>
      <w:r>
        <w:rPr>
          <w:spacing w:val="-1"/>
        </w:rPr>
        <w:t xml:space="preserve"> </w:t>
      </w:r>
      <w:r>
        <w:t>which</w:t>
      </w:r>
      <w:r>
        <w:rPr>
          <w:spacing w:val="-1"/>
        </w:rPr>
        <w:t xml:space="preserve"> </w:t>
      </w:r>
      <w:r>
        <w:t>it</w:t>
      </w:r>
      <w:r>
        <w:rPr>
          <w:spacing w:val="-1"/>
        </w:rPr>
        <w:t xml:space="preserve"> </w:t>
      </w:r>
      <w:r>
        <w:t>determined</w:t>
      </w:r>
      <w:r>
        <w:rPr>
          <w:spacing w:val="-1"/>
        </w:rPr>
        <w:t xml:space="preserve"> </w:t>
      </w:r>
      <w:r>
        <w:t>interconnection</w:t>
      </w:r>
      <w:r>
        <w:rPr>
          <w:spacing w:val="-1"/>
        </w:rPr>
        <w:t xml:space="preserve"> </w:t>
      </w:r>
      <w:r>
        <w:t>costs</w:t>
      </w:r>
      <w:r>
        <w:rPr>
          <w:spacing w:val="-1"/>
        </w:rPr>
        <w:t xml:space="preserve"> </w:t>
      </w:r>
      <w:r>
        <w:t>for</w:t>
      </w:r>
      <w:r>
        <w:rPr>
          <w:spacing w:val="-3"/>
        </w:rPr>
        <w:t xml:space="preserve"> </w:t>
      </w:r>
      <w:r>
        <w:t>new BESS installations, increasing fees for new installations by over 25 times when installed in networks that Con Edison deems constrained; and</w:t>
      </w:r>
    </w:p>
    <w:p w14:paraId="7116AB34" w14:textId="5991DFC7" w:rsidR="00B636FD" w:rsidRDefault="001D480C">
      <w:pPr>
        <w:pStyle w:val="BodyText"/>
        <w:spacing w:line="480" w:lineRule="auto"/>
        <w:ind w:right="359"/>
      </w:pPr>
      <w:r>
        <w:t xml:space="preserve">Whereas, In </w:t>
      </w:r>
      <w:r w:rsidR="00CE1A85">
        <w:t xml:space="preserve">January </w:t>
      </w:r>
      <w:r>
        <w:t xml:space="preserve">of 2026, Con Edison filed a </w:t>
      </w:r>
      <w:r w:rsidR="00E552F9">
        <w:t xml:space="preserve">document </w:t>
      </w:r>
      <w:r>
        <w:t xml:space="preserve">with the New York State Department of Public Service, Case 24-E-0621, </w:t>
      </w:r>
      <w:r w:rsidR="00E552F9">
        <w:t xml:space="preserve">providing notice regarding </w:t>
      </w:r>
      <w:r>
        <w:t>proposed changes to the methodology for determining interconnection costs for new BESS installations; and</w:t>
      </w:r>
    </w:p>
    <w:p w14:paraId="0DB2E500" w14:textId="77777777" w:rsidR="00B636FD" w:rsidRDefault="001D480C">
      <w:pPr>
        <w:pStyle w:val="BodyText"/>
        <w:spacing w:before="1" w:line="480" w:lineRule="auto"/>
        <w:ind w:right="353"/>
      </w:pPr>
      <w:r>
        <w:t>Whereas,</w:t>
      </w:r>
      <w:r>
        <w:rPr>
          <w:spacing w:val="-9"/>
        </w:rPr>
        <w:t xml:space="preserve"> </w:t>
      </w:r>
      <w:r>
        <w:t>Con</w:t>
      </w:r>
      <w:r>
        <w:rPr>
          <w:spacing w:val="-9"/>
        </w:rPr>
        <w:t xml:space="preserve"> </w:t>
      </w:r>
      <w:r>
        <w:t>Edison</w:t>
      </w:r>
      <w:r>
        <w:rPr>
          <w:spacing w:val="-9"/>
        </w:rPr>
        <w:t xml:space="preserve"> </w:t>
      </w:r>
      <w:r>
        <w:t>claims</w:t>
      </w:r>
      <w:r>
        <w:rPr>
          <w:spacing w:val="-9"/>
        </w:rPr>
        <w:t xml:space="preserve"> </w:t>
      </w:r>
      <w:r>
        <w:t>that</w:t>
      </w:r>
      <w:r>
        <w:rPr>
          <w:spacing w:val="-12"/>
        </w:rPr>
        <w:t xml:space="preserve"> </w:t>
      </w:r>
      <w:r>
        <w:t>BESS</w:t>
      </w:r>
      <w:r>
        <w:rPr>
          <w:spacing w:val="-9"/>
        </w:rPr>
        <w:t xml:space="preserve"> </w:t>
      </w:r>
      <w:r>
        <w:t>installations</w:t>
      </w:r>
      <w:r>
        <w:rPr>
          <w:spacing w:val="-9"/>
        </w:rPr>
        <w:t xml:space="preserve"> </w:t>
      </w:r>
      <w:r>
        <w:t>in</w:t>
      </w:r>
      <w:r>
        <w:rPr>
          <w:spacing w:val="-9"/>
        </w:rPr>
        <w:t xml:space="preserve"> </w:t>
      </w:r>
      <w:r>
        <w:t>these</w:t>
      </w:r>
      <w:r>
        <w:rPr>
          <w:spacing w:val="-10"/>
        </w:rPr>
        <w:t xml:space="preserve"> </w:t>
      </w:r>
      <w:r>
        <w:t>networks</w:t>
      </w:r>
      <w:r>
        <w:rPr>
          <w:spacing w:val="-9"/>
        </w:rPr>
        <w:t xml:space="preserve"> </w:t>
      </w:r>
      <w:r>
        <w:t>will</w:t>
      </w:r>
      <w:r>
        <w:rPr>
          <w:spacing w:val="-11"/>
        </w:rPr>
        <w:t xml:space="preserve"> </w:t>
      </w:r>
      <w:r>
        <w:t>overwhelm</w:t>
      </w:r>
      <w:r>
        <w:rPr>
          <w:spacing w:val="-5"/>
        </w:rPr>
        <w:t xml:space="preserve"> </w:t>
      </w:r>
      <w:r>
        <w:t>the system by exceeding the demand capacity of area substations, as measured during one overnight hour on the peak energy usage day of the year; and</w:t>
      </w:r>
    </w:p>
    <w:p w14:paraId="2307F543" w14:textId="77777777" w:rsidR="00B636FD" w:rsidRDefault="001D480C">
      <w:pPr>
        <w:pStyle w:val="BodyText"/>
        <w:spacing w:line="480" w:lineRule="auto"/>
        <w:ind w:right="354"/>
      </w:pPr>
      <w:r>
        <w:t xml:space="preserve">Whereas, A map of constrained networks published by Con Edison shows most of the </w:t>
      </w:r>
      <w:r>
        <w:lastRenderedPageBreak/>
        <w:t>Bronx, Brooklyn and Queens, all of Staten Island, and portions of Manhattan, and includes more than 66% of the disadvantaged communities as designated by New York State; and</w:t>
      </w:r>
    </w:p>
    <w:p w14:paraId="43D20BCB" w14:textId="4C42B384" w:rsidR="00E552F9" w:rsidRDefault="001D480C">
      <w:pPr>
        <w:pStyle w:val="BodyText"/>
        <w:spacing w:before="1" w:line="480" w:lineRule="auto"/>
        <w:ind w:right="359"/>
      </w:pPr>
      <w:r>
        <w:t xml:space="preserve">Whereas, </w:t>
      </w:r>
      <w:r w:rsidR="00FD62B3">
        <w:t>Clean energy industry groups NY-BEST and NYSEIA</w:t>
      </w:r>
      <w:r>
        <w:t xml:space="preserve"> </w:t>
      </w:r>
      <w:r w:rsidR="00E552F9">
        <w:t>have filed an emergency petition to the PSC on the above-mentioned</w:t>
      </w:r>
      <w:r w:rsidR="001F4CDB">
        <w:t xml:space="preserve"> case</w:t>
      </w:r>
      <w:r w:rsidR="00E552F9">
        <w:t xml:space="preserve"> and other dockets, asking regulators to order Con Edison to reverse its unilateral changes; and</w:t>
      </w:r>
    </w:p>
    <w:p w14:paraId="1449CB99" w14:textId="1E970671" w:rsidR="00FD62B3" w:rsidRDefault="00E552F9">
      <w:pPr>
        <w:pStyle w:val="BodyText"/>
        <w:spacing w:before="1" w:line="480" w:lineRule="auto"/>
        <w:ind w:right="359"/>
      </w:pPr>
      <w:r>
        <w:t>Whereas, NY-BEST and NYSEIA detail how Con Edison’s concerns regarding network constraints are predicated on flawed assumptions, including that every BESS citywide must charge during the same peak hour of the nighttime window, that every project currently in the interconnection queue will be built, despite historical data showing that only approximately one-third of projects make it to the construction phase</w:t>
      </w:r>
      <w:r w:rsidR="00FD62B3">
        <w:t>; and</w:t>
      </w:r>
    </w:p>
    <w:p w14:paraId="0358D107" w14:textId="00020E6B" w:rsidR="00B636FD" w:rsidRDefault="00FD62B3">
      <w:pPr>
        <w:pStyle w:val="BodyText"/>
        <w:spacing w:before="1" w:line="480" w:lineRule="auto"/>
        <w:ind w:right="359"/>
      </w:pPr>
      <w:r>
        <w:t xml:space="preserve">Whereas, NY-BEST and NYSEIA </w:t>
      </w:r>
      <w:r w:rsidR="001F4CDB">
        <w:t>claim</w:t>
      </w:r>
      <w:r>
        <w:t xml:space="preserve"> in their emergency filing that Con Edison enacted its changes to interconnection policy </w:t>
      </w:r>
      <w:r w:rsidR="001F4CDB">
        <w:t xml:space="preserve"> using</w:t>
      </w:r>
      <w:r>
        <w:t xml:space="preserve"> methodology</w:t>
      </w:r>
      <w:r w:rsidR="001F4CDB">
        <w:t xml:space="preserve"> that</w:t>
      </w:r>
      <w:r>
        <w:t xml:space="preserve"> is arbitrary and without evidence to support its alleged reliability concerns; and</w:t>
      </w:r>
    </w:p>
    <w:p w14:paraId="35DAA87F" w14:textId="2C12F80F" w:rsidR="00B636FD" w:rsidRDefault="001D480C">
      <w:pPr>
        <w:pStyle w:val="BodyText"/>
        <w:spacing w:line="480" w:lineRule="auto"/>
        <w:ind w:right="354"/>
      </w:pPr>
      <w:r>
        <w:t>Whereas, In</w:t>
      </w:r>
      <w:r>
        <w:rPr>
          <w:spacing w:val="-1"/>
        </w:rPr>
        <w:t xml:space="preserve"> </w:t>
      </w:r>
      <w:r>
        <w:t>March</w:t>
      </w:r>
      <w:r>
        <w:rPr>
          <w:spacing w:val="-1"/>
        </w:rPr>
        <w:t xml:space="preserve"> </w:t>
      </w:r>
      <w:r>
        <w:t>of</w:t>
      </w:r>
      <w:r>
        <w:rPr>
          <w:spacing w:val="-2"/>
        </w:rPr>
        <w:t xml:space="preserve"> </w:t>
      </w:r>
      <w:r>
        <w:t>2026,</w:t>
      </w:r>
      <w:r>
        <w:rPr>
          <w:spacing w:val="-1"/>
        </w:rPr>
        <w:t xml:space="preserve"> </w:t>
      </w:r>
      <w:r>
        <w:t>a</w:t>
      </w:r>
      <w:r>
        <w:rPr>
          <w:spacing w:val="-2"/>
        </w:rPr>
        <w:t xml:space="preserve"> </w:t>
      </w:r>
      <w:r>
        <w:t>coalition</w:t>
      </w:r>
      <w:r>
        <w:rPr>
          <w:spacing w:val="-1"/>
        </w:rPr>
        <w:t xml:space="preserve"> </w:t>
      </w:r>
      <w:r>
        <w:t>of</w:t>
      </w:r>
      <w:r>
        <w:rPr>
          <w:spacing w:val="-2"/>
        </w:rPr>
        <w:t xml:space="preserve"> </w:t>
      </w:r>
      <w:r>
        <w:t>local</w:t>
      </w:r>
      <w:r>
        <w:rPr>
          <w:spacing w:val="-1"/>
        </w:rPr>
        <w:t xml:space="preserve"> </w:t>
      </w:r>
      <w:r>
        <w:t>elected</w:t>
      </w:r>
      <w:r>
        <w:rPr>
          <w:spacing w:val="-2"/>
        </w:rPr>
        <w:t xml:space="preserve"> </w:t>
      </w:r>
      <w:r>
        <w:t>officials,</w:t>
      </w:r>
      <w:r>
        <w:rPr>
          <w:spacing w:val="-1"/>
        </w:rPr>
        <w:t xml:space="preserve"> </w:t>
      </w:r>
      <w:r>
        <w:t>environmental</w:t>
      </w:r>
      <w:r>
        <w:rPr>
          <w:spacing w:val="-1"/>
        </w:rPr>
        <w:t xml:space="preserve"> </w:t>
      </w:r>
      <w:r>
        <w:t>advocacy groups, and clean energy advocates sent a letter to Con Edison, admonishing the utility for effectively</w:t>
      </w:r>
      <w:r>
        <w:rPr>
          <w:spacing w:val="-10"/>
        </w:rPr>
        <w:t xml:space="preserve"> </w:t>
      </w:r>
      <w:r>
        <w:t>halting</w:t>
      </w:r>
      <w:r>
        <w:rPr>
          <w:spacing w:val="-10"/>
        </w:rPr>
        <w:t xml:space="preserve"> </w:t>
      </w:r>
      <w:r>
        <w:t>BESS</w:t>
      </w:r>
      <w:r>
        <w:rPr>
          <w:spacing w:val="-15"/>
        </w:rPr>
        <w:t xml:space="preserve"> </w:t>
      </w:r>
      <w:r>
        <w:t>projects</w:t>
      </w:r>
      <w:r>
        <w:rPr>
          <w:spacing w:val="-10"/>
        </w:rPr>
        <w:t xml:space="preserve"> </w:t>
      </w:r>
      <w:r>
        <w:t>in</w:t>
      </w:r>
      <w:r>
        <w:rPr>
          <w:spacing w:val="-10"/>
        </w:rPr>
        <w:t xml:space="preserve"> </w:t>
      </w:r>
      <w:r>
        <w:t>New</w:t>
      </w:r>
      <w:r>
        <w:rPr>
          <w:spacing w:val="-11"/>
        </w:rPr>
        <w:t xml:space="preserve"> </w:t>
      </w:r>
      <w:r>
        <w:t>York</w:t>
      </w:r>
      <w:r>
        <w:rPr>
          <w:spacing w:val="-11"/>
        </w:rPr>
        <w:t xml:space="preserve"> </w:t>
      </w:r>
      <w:r>
        <w:t>City</w:t>
      </w:r>
      <w:r>
        <w:rPr>
          <w:spacing w:val="-11"/>
        </w:rPr>
        <w:t xml:space="preserve"> </w:t>
      </w:r>
      <w:r>
        <w:t>by</w:t>
      </w:r>
      <w:r>
        <w:rPr>
          <w:spacing w:val="-11"/>
        </w:rPr>
        <w:t xml:space="preserve"> </w:t>
      </w:r>
      <w:r>
        <w:t>drastically</w:t>
      </w:r>
      <w:r>
        <w:rPr>
          <w:spacing w:val="-11"/>
        </w:rPr>
        <w:t xml:space="preserve"> </w:t>
      </w:r>
      <w:r>
        <w:t>increasing</w:t>
      </w:r>
      <w:r>
        <w:rPr>
          <w:spacing w:val="-11"/>
        </w:rPr>
        <w:t xml:space="preserve"> </w:t>
      </w:r>
      <w:r w:rsidR="00FD62B3">
        <w:t>interconnection</w:t>
      </w:r>
      <w:r w:rsidR="00FD62B3">
        <w:rPr>
          <w:spacing w:val="-10"/>
        </w:rPr>
        <w:t xml:space="preserve"> </w:t>
      </w:r>
      <w:r>
        <w:t>costs,</w:t>
      </w:r>
      <w:r>
        <w:rPr>
          <w:spacing w:val="-11"/>
        </w:rPr>
        <w:t xml:space="preserve"> </w:t>
      </w:r>
      <w:r>
        <w:t xml:space="preserve">and </w:t>
      </w:r>
      <w:r w:rsidR="00FD62B3">
        <w:t>calling on Con Edison to re</w:t>
      </w:r>
      <w:r w:rsidR="001F4CDB">
        <w:t>v</w:t>
      </w:r>
      <w:r w:rsidR="00FD62B3">
        <w:t>er</w:t>
      </w:r>
      <w:r w:rsidR="001F4CDB">
        <w:t>s</w:t>
      </w:r>
      <w:r w:rsidR="00FD62B3">
        <w:t>e its unilateral changes</w:t>
      </w:r>
      <w:r>
        <w:t>; now, therefore, be it</w:t>
      </w:r>
    </w:p>
    <w:p w14:paraId="207ED6F2" w14:textId="226DD30B" w:rsidR="00B636FD" w:rsidRDefault="001D480C">
      <w:pPr>
        <w:pStyle w:val="BodyText"/>
        <w:spacing w:before="1" w:line="480" w:lineRule="auto"/>
        <w:ind w:right="353"/>
      </w:pPr>
      <w:r>
        <w:t xml:space="preserve">Resolved, That the Council of the City of New York </w:t>
      </w:r>
      <w:r w:rsidR="00FD62B3">
        <w:t xml:space="preserve">calls </w:t>
      </w:r>
      <w:r>
        <w:t xml:space="preserve">upon the New York State Public Service Commission to </w:t>
      </w:r>
      <w:r w:rsidR="00FD62B3">
        <w:t xml:space="preserve">issue an emergency rule restricting Con Edison’s ability to apply its interconnection methodology which has </w:t>
      </w:r>
      <w:r>
        <w:t xml:space="preserve"> increased costs for battery storage facilities located in networks that the company deems constrained.</w:t>
      </w:r>
    </w:p>
    <w:p w14:paraId="3D08CE57" w14:textId="77777777" w:rsidR="00B636FD" w:rsidRDefault="00B636FD">
      <w:pPr>
        <w:pStyle w:val="BodyText"/>
        <w:ind w:firstLine="0"/>
        <w:jc w:val="left"/>
      </w:pPr>
    </w:p>
    <w:p w14:paraId="15E0C3F0" w14:textId="77777777" w:rsidR="00B636FD" w:rsidRDefault="00B636FD">
      <w:pPr>
        <w:pStyle w:val="BodyText"/>
        <w:spacing w:before="1"/>
        <w:ind w:firstLine="0"/>
        <w:jc w:val="left"/>
      </w:pPr>
    </w:p>
    <w:p w14:paraId="6AC989FA" w14:textId="77777777" w:rsidR="00B636FD" w:rsidRDefault="001D480C">
      <w:pPr>
        <w:spacing w:before="1"/>
        <w:ind w:right="8647"/>
        <w:rPr>
          <w:sz w:val="18"/>
        </w:rPr>
      </w:pPr>
      <w:r>
        <w:rPr>
          <w:spacing w:val="-4"/>
          <w:sz w:val="18"/>
        </w:rPr>
        <w:t xml:space="preserve">NRC </w:t>
      </w:r>
      <w:r>
        <w:rPr>
          <w:spacing w:val="-2"/>
          <w:sz w:val="18"/>
        </w:rPr>
        <w:t>LS#21533 3/25/26</w:t>
      </w:r>
    </w:p>
    <w:sectPr w:rsidR="00B636FD">
      <w:pgSz w:w="12240" w:h="15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6FD"/>
    <w:rsid w:val="00070981"/>
    <w:rsid w:val="001D480C"/>
    <w:rsid w:val="001F4CDB"/>
    <w:rsid w:val="00425DD9"/>
    <w:rsid w:val="004264F1"/>
    <w:rsid w:val="00494820"/>
    <w:rsid w:val="00532901"/>
    <w:rsid w:val="005F6766"/>
    <w:rsid w:val="006178A0"/>
    <w:rsid w:val="006470DF"/>
    <w:rsid w:val="006B318D"/>
    <w:rsid w:val="006F7C3B"/>
    <w:rsid w:val="00834AE1"/>
    <w:rsid w:val="00931F6F"/>
    <w:rsid w:val="00B50F31"/>
    <w:rsid w:val="00B636FD"/>
    <w:rsid w:val="00CE1A85"/>
    <w:rsid w:val="00D317CA"/>
    <w:rsid w:val="00DE4D67"/>
    <w:rsid w:val="00E552F9"/>
    <w:rsid w:val="00FD62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5C56"/>
  <w15:docId w15:val="{1B702718-C24A-304D-83D2-2419D7F88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firstLine="719"/>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FD62B3"/>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D62B3"/>
    <w:rPr>
      <w:sz w:val="16"/>
      <w:szCs w:val="16"/>
    </w:rPr>
  </w:style>
  <w:style w:type="paragraph" w:styleId="CommentText">
    <w:name w:val="annotation text"/>
    <w:basedOn w:val="Normal"/>
    <w:link w:val="CommentTextChar"/>
    <w:uiPriority w:val="99"/>
    <w:semiHidden/>
    <w:unhideWhenUsed/>
    <w:rsid w:val="00FD62B3"/>
    <w:rPr>
      <w:sz w:val="20"/>
      <w:szCs w:val="20"/>
    </w:rPr>
  </w:style>
  <w:style w:type="character" w:customStyle="1" w:styleId="CommentTextChar">
    <w:name w:val="Comment Text Char"/>
    <w:basedOn w:val="DefaultParagraphFont"/>
    <w:link w:val="CommentText"/>
    <w:uiPriority w:val="99"/>
    <w:semiHidden/>
    <w:rsid w:val="00FD62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62B3"/>
    <w:rPr>
      <w:b/>
      <w:bCs/>
    </w:rPr>
  </w:style>
  <w:style w:type="character" w:customStyle="1" w:styleId="CommentSubjectChar">
    <w:name w:val="Comment Subject Char"/>
    <w:basedOn w:val="CommentTextChar"/>
    <w:link w:val="CommentSubject"/>
    <w:uiPriority w:val="99"/>
    <w:semiHidden/>
    <w:rsid w:val="00FD62B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D62B3"/>
    <w:rPr>
      <w:color w:val="0000FF" w:themeColor="hyperlink"/>
      <w:u w:val="single"/>
    </w:rPr>
  </w:style>
  <w:style w:type="character" w:styleId="UnresolvedMention">
    <w:name w:val="Unresolved Mention"/>
    <w:basedOn w:val="DefaultParagraphFont"/>
    <w:uiPriority w:val="99"/>
    <w:semiHidden/>
    <w:unhideWhenUsed/>
    <w:rsid w:val="00FD62B3"/>
    <w:rPr>
      <w:color w:val="605E5C"/>
      <w:shd w:val="clear" w:color="auto" w:fill="E1DFDD"/>
    </w:rPr>
  </w:style>
  <w:style w:type="paragraph" w:styleId="BalloonText">
    <w:name w:val="Balloon Text"/>
    <w:basedOn w:val="Normal"/>
    <w:link w:val="BalloonTextChar"/>
    <w:uiPriority w:val="99"/>
    <w:semiHidden/>
    <w:unhideWhenUsed/>
    <w:rsid w:val="006F7C3B"/>
    <w:rPr>
      <w:sz w:val="18"/>
      <w:szCs w:val="18"/>
    </w:rPr>
  </w:style>
  <w:style w:type="character" w:customStyle="1" w:styleId="BalloonTextChar">
    <w:name w:val="Balloon Text Char"/>
    <w:basedOn w:val="DefaultParagraphFont"/>
    <w:link w:val="BalloonText"/>
    <w:uiPriority w:val="99"/>
    <w:semiHidden/>
    <w:rsid w:val="006F7C3B"/>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BFC1D82F53334FA30086A41EC4C67F" ma:contentTypeVersion="17" ma:contentTypeDescription="Create a new document." ma:contentTypeScope="" ma:versionID="a53d22fe6fde5be55b4933ef8cb28930">
  <xsd:schema xmlns:xsd="http://www.w3.org/2001/XMLSchema" xmlns:xs="http://www.w3.org/2001/XMLSchema" xmlns:p="http://schemas.microsoft.com/office/2006/metadata/properties" xmlns:ns3="476cf360-498e-402d-80e5-18e20dbb6c1b" xmlns:ns4="f1f6837e-3bc8-403f-85f2-24f9c25b7764" targetNamespace="http://schemas.microsoft.com/office/2006/metadata/properties" ma:root="true" ma:fieldsID="40b8fa76e979a8734ab6aeee50455643" ns3:_="" ns4:_="">
    <xsd:import namespace="476cf360-498e-402d-80e5-18e20dbb6c1b"/>
    <xsd:import namespace="f1f6837e-3bc8-403f-85f2-24f9c25b77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cf360-498e-402d-80e5-18e20dbb6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f6837e-3bc8-403f-85f2-24f9c25b77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76cf360-498e-402d-80e5-18e20dbb6c1b" xsi:nil="true"/>
  </documentManagement>
</p:properties>
</file>

<file path=customXml/itemProps1.xml><?xml version="1.0" encoding="utf-8"?>
<ds:datastoreItem xmlns:ds="http://schemas.openxmlformats.org/officeDocument/2006/customXml" ds:itemID="{8034FC75-14CE-4F24-BB4C-B3A5A5AF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cf360-498e-402d-80e5-18e20dbb6c1b"/>
    <ds:schemaRef ds:uri="f1f6837e-3bc8-403f-85f2-24f9c25b7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F7CBA-3DFA-4661-AA9C-83BF64204C7F}">
  <ds:schemaRefs>
    <ds:schemaRef ds:uri="http://schemas.microsoft.com/sharepoint/v3/contenttype/forms"/>
  </ds:schemaRefs>
</ds:datastoreItem>
</file>

<file path=customXml/itemProps3.xml><?xml version="1.0" encoding="utf-8"?>
<ds:datastoreItem xmlns:ds="http://schemas.openxmlformats.org/officeDocument/2006/customXml" ds:itemID="{0E3E25B1-4D42-4C20-88FF-9C3782D013E1}">
  <ds:schemaRefs>
    <ds:schemaRef ds:uri="http://schemas.microsoft.com/office/2006/metadata/properties"/>
    <ds:schemaRef ds:uri="http://schemas.microsoft.com/office/infopath/2007/PartnerControls"/>
    <ds:schemaRef ds:uri="476cf360-498e-402d-80e5-18e20dbb6c1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Chawla, Ricky</dc:creator>
  <cp:lastModifiedBy>Jeffries, Jillian</cp:lastModifiedBy>
  <cp:revision>3</cp:revision>
  <dcterms:created xsi:type="dcterms:W3CDTF">2026-04-13T14:49:00Z</dcterms:created>
  <dcterms:modified xsi:type="dcterms:W3CDTF">2026-04-16T13:46:00Z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2026-03-25T00:00:00Z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y fmtid="{D5CDD505-2E9C-101B-9397-08002B2CF9AE}" pid="6" name="ContentTypeId">
    <vt:lpwstr>0x01010019BFC1D82F53334FA30086A41EC4C67F</vt:lpwstr>
  </property>
</Properties>
</file>