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13EF7" w14:textId="77777777" w:rsidR="00491E0D" w:rsidRDefault="00B55335" w:rsidP="00B55335">
      <w:pPr>
        <w:ind w:left="360"/>
        <w:jc w:val="right"/>
        <w:rPr>
          <w:color w:val="000000"/>
          <w:u w:val="single"/>
        </w:rPr>
      </w:pPr>
      <w:r w:rsidRPr="00E92200">
        <w:rPr>
          <w:color w:val="000000"/>
          <w:u w:val="single"/>
        </w:rPr>
        <w:t>Committee on Civil and Human Rights</w:t>
      </w:r>
    </w:p>
    <w:p w14:paraId="5D9774C3" w14:textId="7E0A175F" w:rsidR="00B55335" w:rsidRPr="00E92200" w:rsidRDefault="00491E0D" w:rsidP="00B55335">
      <w:pPr>
        <w:ind w:left="360"/>
        <w:jc w:val="right"/>
        <w:rPr>
          <w:color w:val="000000"/>
        </w:rPr>
      </w:pPr>
      <w:r>
        <w:rPr>
          <w:color w:val="000000"/>
        </w:rPr>
        <w:t xml:space="preserve">Jessica Boulet, </w:t>
      </w:r>
      <w:r>
        <w:rPr>
          <w:i/>
          <w:iCs/>
          <w:color w:val="000000"/>
        </w:rPr>
        <w:t>Legislative Counsel</w:t>
      </w:r>
      <w:r w:rsidR="00B55335" w:rsidRPr="00E92200">
        <w:rPr>
          <w:color w:val="000000"/>
          <w:u w:val="single"/>
        </w:rPr>
        <w:t xml:space="preserve"> </w:t>
      </w:r>
    </w:p>
    <w:p w14:paraId="166747B1" w14:textId="77777777" w:rsidR="00B55335" w:rsidRPr="00E92200" w:rsidRDefault="00B55335" w:rsidP="00B55335">
      <w:pPr>
        <w:ind w:left="360"/>
        <w:jc w:val="right"/>
        <w:rPr>
          <w:color w:val="000000"/>
        </w:rPr>
      </w:pPr>
      <w:r w:rsidRPr="00E92200">
        <w:rPr>
          <w:color w:val="000000"/>
        </w:rPr>
        <w:t xml:space="preserve">Wiam Diouri, </w:t>
      </w:r>
      <w:r w:rsidRPr="00E92200">
        <w:rPr>
          <w:i/>
          <w:color w:val="000000"/>
        </w:rPr>
        <w:t>Senior Legislative Policy Analyst</w:t>
      </w:r>
      <w:r w:rsidRPr="00E92200">
        <w:rPr>
          <w:color w:val="000000"/>
        </w:rPr>
        <w:t xml:space="preserve"> </w:t>
      </w:r>
    </w:p>
    <w:p w14:paraId="13360587" w14:textId="77777777" w:rsidR="00B55335" w:rsidRPr="00E92200" w:rsidRDefault="00B55335" w:rsidP="00B55335">
      <w:pPr>
        <w:ind w:left="360"/>
        <w:jc w:val="right"/>
        <w:rPr>
          <w:i/>
          <w:color w:val="000000"/>
        </w:rPr>
      </w:pPr>
      <w:r>
        <w:rPr>
          <w:color w:val="000000"/>
        </w:rPr>
        <w:t xml:space="preserve">Allie Stofer, </w:t>
      </w:r>
      <w:r>
        <w:rPr>
          <w:i/>
          <w:color w:val="000000"/>
        </w:rPr>
        <w:t>F</w:t>
      </w:r>
      <w:r w:rsidRPr="00E92200">
        <w:rPr>
          <w:i/>
          <w:color w:val="000000"/>
        </w:rPr>
        <w:t>inance Analyst</w:t>
      </w:r>
    </w:p>
    <w:p w14:paraId="1A7ED6AD" w14:textId="0E4D98A2" w:rsidR="00B55335" w:rsidRPr="00C8757A" w:rsidRDefault="00C8757A" w:rsidP="00B55335">
      <w:pPr>
        <w:ind w:left="360"/>
        <w:jc w:val="right"/>
        <w:rPr>
          <w:i/>
          <w:iCs/>
          <w:color w:val="000000"/>
        </w:rPr>
      </w:pPr>
      <w:r>
        <w:rPr>
          <w:color w:val="000000"/>
        </w:rPr>
        <w:t xml:space="preserve">Danylo Orlov, </w:t>
      </w:r>
      <w:r>
        <w:rPr>
          <w:i/>
          <w:iCs/>
          <w:color w:val="000000"/>
        </w:rPr>
        <w:t>Data Analyst</w:t>
      </w:r>
    </w:p>
    <w:p w14:paraId="0EFE5B08" w14:textId="77777777" w:rsidR="00B55335" w:rsidRDefault="00B55335" w:rsidP="00B55335">
      <w:pPr>
        <w:ind w:left="360"/>
        <w:jc w:val="right"/>
        <w:rPr>
          <w:iCs/>
          <w:u w:val="single"/>
        </w:rPr>
      </w:pPr>
    </w:p>
    <w:p w14:paraId="4EF6ED84" w14:textId="77777777" w:rsidR="00B55335" w:rsidRPr="00E92200" w:rsidRDefault="00B55335" w:rsidP="00B55335">
      <w:pPr>
        <w:ind w:left="360"/>
        <w:jc w:val="right"/>
        <w:rPr>
          <w:i/>
          <w:color w:val="000000"/>
        </w:rPr>
      </w:pPr>
    </w:p>
    <w:p w14:paraId="7202AFDA" w14:textId="77777777" w:rsidR="00B55335" w:rsidRPr="00E92200" w:rsidRDefault="00B55335" w:rsidP="00B55335">
      <w:pPr>
        <w:ind w:left="360"/>
        <w:jc w:val="right"/>
        <w:rPr>
          <w:color w:val="000000"/>
        </w:rPr>
      </w:pPr>
    </w:p>
    <w:p w14:paraId="6C21224C" w14:textId="77777777" w:rsidR="00B55335" w:rsidRPr="00E92200" w:rsidRDefault="00B55335" w:rsidP="00B55335">
      <w:pPr>
        <w:ind w:left="360"/>
        <w:jc w:val="right"/>
        <w:rPr>
          <w:color w:val="000000"/>
        </w:rPr>
      </w:pPr>
    </w:p>
    <w:p w14:paraId="4E2DB139" w14:textId="77777777" w:rsidR="00B55335" w:rsidRPr="00E92200" w:rsidRDefault="00B55335" w:rsidP="00B55335">
      <w:pPr>
        <w:ind w:left="360"/>
        <w:jc w:val="right"/>
        <w:rPr>
          <w:color w:val="000000"/>
        </w:rPr>
      </w:pPr>
      <w:r w:rsidRPr="00B53F9A">
        <w:rPr>
          <w:noProof/>
        </w:rPr>
        <w:drawing>
          <wp:anchor distT="0" distB="0" distL="114300" distR="114300" simplePos="0" relativeHeight="251658240" behindDoc="0" locked="0" layoutInCell="1" allowOverlap="1" wp14:anchorId="087397D4" wp14:editId="559442EE">
            <wp:simplePos x="0" y="0"/>
            <wp:positionH relativeFrom="column">
              <wp:posOffset>2473325</wp:posOffset>
            </wp:positionH>
            <wp:positionV relativeFrom="paragraph">
              <wp:posOffset>168910</wp:posOffset>
            </wp:positionV>
            <wp:extent cx="1092835" cy="1178560"/>
            <wp:effectExtent l="0" t="0" r="0" b="2540"/>
            <wp:wrapThrough wrapText="bothSides">
              <wp:wrapPolygon edited="0">
                <wp:start x="7154" y="0"/>
                <wp:lineTo x="4518" y="1047"/>
                <wp:lineTo x="377" y="4539"/>
                <wp:lineTo x="0" y="8030"/>
                <wp:lineTo x="0" y="13966"/>
                <wp:lineTo x="753" y="17457"/>
                <wp:lineTo x="6401" y="21297"/>
                <wp:lineTo x="7154" y="21297"/>
                <wp:lineTo x="13931" y="21297"/>
                <wp:lineTo x="15061" y="21297"/>
                <wp:lineTo x="20332" y="17457"/>
                <wp:lineTo x="21085" y="14664"/>
                <wp:lineTo x="21085" y="4888"/>
                <wp:lineTo x="16191" y="698"/>
                <wp:lineTo x="14308" y="0"/>
                <wp:lineTo x="7154"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2835" cy="1178560"/>
                    </a:xfrm>
                    <a:prstGeom prst="rect">
                      <a:avLst/>
                    </a:prstGeom>
                  </pic:spPr>
                </pic:pic>
              </a:graphicData>
            </a:graphic>
            <wp14:sizeRelH relativeFrom="margin">
              <wp14:pctWidth>0</wp14:pctWidth>
            </wp14:sizeRelH>
            <wp14:sizeRelV relativeFrom="margin">
              <wp14:pctHeight>0</wp14:pctHeight>
            </wp14:sizeRelV>
          </wp:anchor>
        </w:drawing>
      </w:r>
    </w:p>
    <w:p w14:paraId="49F4BC09" w14:textId="77777777" w:rsidR="00B55335" w:rsidRPr="00E92200" w:rsidRDefault="00B55335" w:rsidP="00B55335">
      <w:pPr>
        <w:spacing w:line="480" w:lineRule="auto"/>
        <w:ind w:left="360"/>
        <w:jc w:val="center"/>
        <w:rPr>
          <w:b/>
          <w:bCs/>
          <w:color w:val="000000"/>
        </w:rPr>
      </w:pPr>
    </w:p>
    <w:p w14:paraId="4CDE876D" w14:textId="77777777" w:rsidR="00B55335" w:rsidRPr="00E92200" w:rsidRDefault="00B55335" w:rsidP="00B55335">
      <w:pPr>
        <w:spacing w:line="480" w:lineRule="auto"/>
        <w:ind w:left="360"/>
        <w:rPr>
          <w:b/>
          <w:bCs/>
          <w:color w:val="000000"/>
        </w:rPr>
      </w:pPr>
    </w:p>
    <w:p w14:paraId="0FFE387E" w14:textId="77777777" w:rsidR="00B55335" w:rsidRPr="00E92200" w:rsidRDefault="00B55335" w:rsidP="00B55335">
      <w:pPr>
        <w:spacing w:line="480" w:lineRule="auto"/>
        <w:ind w:left="360"/>
        <w:jc w:val="both"/>
        <w:rPr>
          <w:b/>
          <w:bCs/>
          <w:color w:val="000000"/>
        </w:rPr>
      </w:pPr>
      <w:r w:rsidRPr="00E92200">
        <w:rPr>
          <w:b/>
          <w:bCs/>
          <w:color w:val="000000"/>
        </w:rPr>
        <w:t xml:space="preserve"> </w:t>
      </w:r>
    </w:p>
    <w:p w14:paraId="26C9EFB9" w14:textId="77777777" w:rsidR="00B55335" w:rsidRPr="00E92200" w:rsidRDefault="00B55335" w:rsidP="00B55335">
      <w:pPr>
        <w:spacing w:line="360" w:lineRule="auto"/>
        <w:ind w:left="360"/>
        <w:jc w:val="center"/>
        <w:rPr>
          <w:b/>
          <w:bCs/>
          <w:color w:val="000000"/>
        </w:rPr>
      </w:pPr>
    </w:p>
    <w:p w14:paraId="2BFE5DA8" w14:textId="77777777" w:rsidR="00B55335" w:rsidRPr="00E92200" w:rsidRDefault="00B55335" w:rsidP="00B55335">
      <w:pPr>
        <w:spacing w:line="480" w:lineRule="auto"/>
        <w:ind w:left="360"/>
        <w:jc w:val="center"/>
        <w:rPr>
          <w:color w:val="000000"/>
        </w:rPr>
      </w:pPr>
      <w:r w:rsidRPr="00E92200">
        <w:rPr>
          <w:b/>
          <w:bCs/>
          <w:color w:val="000000"/>
        </w:rPr>
        <w:t>THE COUNCIL OF THE CITY OF NEW YORK</w:t>
      </w:r>
    </w:p>
    <w:p w14:paraId="585BBA84" w14:textId="77777777" w:rsidR="00B55335" w:rsidRPr="00E92200" w:rsidRDefault="00E016B2" w:rsidP="00B55335">
      <w:pPr>
        <w:ind w:left="360"/>
        <w:jc w:val="center"/>
        <w:rPr>
          <w:b/>
          <w:bCs/>
          <w:color w:val="000000"/>
          <w:u w:val="single"/>
        </w:rPr>
      </w:pPr>
      <w:r>
        <w:rPr>
          <w:b/>
          <w:bCs/>
          <w:color w:val="000000"/>
          <w:u w:val="single"/>
        </w:rPr>
        <w:t>BRIEFING PAPER</w:t>
      </w:r>
      <w:r w:rsidR="00B55335" w:rsidRPr="00E92200">
        <w:rPr>
          <w:b/>
          <w:bCs/>
          <w:color w:val="000000"/>
          <w:u w:val="single"/>
        </w:rPr>
        <w:t xml:space="preserve"> </w:t>
      </w:r>
    </w:p>
    <w:p w14:paraId="520F348A" w14:textId="77777777" w:rsidR="00B55335" w:rsidRPr="00E92200" w:rsidRDefault="00B55335" w:rsidP="00B55335">
      <w:pPr>
        <w:ind w:left="360"/>
        <w:jc w:val="center"/>
        <w:rPr>
          <w:b/>
          <w:bCs/>
          <w:color w:val="000000"/>
          <w:u w:val="single"/>
        </w:rPr>
      </w:pPr>
      <w:r w:rsidRPr="00E92200">
        <w:rPr>
          <w:b/>
          <w:bCs/>
          <w:color w:val="000000"/>
          <w:u w:val="single"/>
        </w:rPr>
        <w:t xml:space="preserve">OF THE GOVERNMENTAL AFFAIRS </w:t>
      </w:r>
      <w:r>
        <w:rPr>
          <w:b/>
          <w:bCs/>
          <w:color w:val="000000"/>
          <w:u w:val="single"/>
        </w:rPr>
        <w:t>DIVISION</w:t>
      </w:r>
    </w:p>
    <w:p w14:paraId="2C5F8320" w14:textId="77777777" w:rsidR="00B55335" w:rsidRPr="00E92200" w:rsidRDefault="00B55335" w:rsidP="00B55335">
      <w:pPr>
        <w:ind w:left="360"/>
        <w:jc w:val="center"/>
        <w:rPr>
          <w:i/>
          <w:color w:val="000000"/>
        </w:rPr>
      </w:pPr>
      <w:r w:rsidRPr="00E92200">
        <w:rPr>
          <w:bCs/>
          <w:i/>
          <w:color w:val="000000"/>
        </w:rPr>
        <w:t>Andrea Vazquez, Legislative Director</w:t>
      </w:r>
    </w:p>
    <w:p w14:paraId="6736392A" w14:textId="77777777" w:rsidR="00B55335" w:rsidRPr="00E92200" w:rsidRDefault="00B55335" w:rsidP="00B55335">
      <w:pPr>
        <w:ind w:left="360"/>
        <w:jc w:val="center"/>
        <w:rPr>
          <w:bCs/>
          <w:i/>
          <w:color w:val="000000"/>
        </w:rPr>
      </w:pPr>
      <w:r w:rsidRPr="00E92200">
        <w:rPr>
          <w:bCs/>
          <w:i/>
          <w:color w:val="000000"/>
        </w:rPr>
        <w:t>Rachel Cordero, Deputy Director, Governmental Affairs</w:t>
      </w:r>
    </w:p>
    <w:p w14:paraId="263BF898" w14:textId="77777777" w:rsidR="00B55335" w:rsidRPr="00E92200" w:rsidRDefault="00B55335" w:rsidP="00B55335">
      <w:pPr>
        <w:ind w:left="360"/>
        <w:rPr>
          <w:b/>
          <w:bCs/>
          <w:color w:val="000000"/>
        </w:rPr>
      </w:pPr>
    </w:p>
    <w:p w14:paraId="65BCAE1E" w14:textId="77777777" w:rsidR="00B55335" w:rsidRPr="00E92200" w:rsidRDefault="00B55335" w:rsidP="00B55335">
      <w:pPr>
        <w:spacing w:line="360" w:lineRule="auto"/>
        <w:ind w:left="360"/>
        <w:jc w:val="center"/>
        <w:rPr>
          <w:color w:val="000000"/>
        </w:rPr>
      </w:pPr>
      <w:r w:rsidRPr="00E92200">
        <w:rPr>
          <w:b/>
          <w:bCs/>
          <w:color w:val="000000"/>
          <w:u w:val="single"/>
        </w:rPr>
        <w:t>COMMITTEE ON CIVIL AND HUMAN RIGHTS</w:t>
      </w:r>
    </w:p>
    <w:p w14:paraId="12709901" w14:textId="5020C6D0" w:rsidR="00B55335" w:rsidRPr="00E92200" w:rsidRDefault="00B55335" w:rsidP="00B55335">
      <w:pPr>
        <w:ind w:left="360"/>
        <w:jc w:val="center"/>
        <w:rPr>
          <w:bCs/>
          <w:i/>
          <w:color w:val="000000"/>
        </w:rPr>
      </w:pPr>
      <w:r w:rsidRPr="00E92200">
        <w:rPr>
          <w:bCs/>
          <w:i/>
          <w:color w:val="000000"/>
        </w:rPr>
        <w:t>Hon.</w:t>
      </w:r>
      <w:r>
        <w:rPr>
          <w:bCs/>
          <w:i/>
          <w:color w:val="000000"/>
        </w:rPr>
        <w:t xml:space="preserve"> </w:t>
      </w:r>
      <w:r w:rsidR="00491E0D">
        <w:rPr>
          <w:bCs/>
          <w:i/>
          <w:color w:val="000000"/>
        </w:rPr>
        <w:t>Sandy Nurse</w:t>
      </w:r>
    </w:p>
    <w:p w14:paraId="04AA889E" w14:textId="77777777" w:rsidR="00B55335" w:rsidRPr="00E92200" w:rsidRDefault="00B55335" w:rsidP="00B55335">
      <w:pPr>
        <w:ind w:left="360"/>
        <w:jc w:val="center"/>
        <w:rPr>
          <w:b/>
          <w:bCs/>
          <w:color w:val="000000"/>
        </w:rPr>
      </w:pPr>
    </w:p>
    <w:p w14:paraId="1D47D34B" w14:textId="5563755D" w:rsidR="00B55335" w:rsidRPr="00E92200" w:rsidRDefault="00660B42" w:rsidP="00B55335">
      <w:pPr>
        <w:ind w:left="360"/>
        <w:jc w:val="center"/>
        <w:rPr>
          <w:bCs/>
          <w:color w:val="000000"/>
        </w:rPr>
      </w:pPr>
      <w:r>
        <w:rPr>
          <w:bCs/>
          <w:color w:val="000000"/>
        </w:rPr>
        <w:t>April 28</w:t>
      </w:r>
      <w:r w:rsidR="00B55335">
        <w:rPr>
          <w:bCs/>
          <w:color w:val="000000"/>
        </w:rPr>
        <w:t>, 202</w:t>
      </w:r>
      <w:r w:rsidR="00491E0D">
        <w:rPr>
          <w:bCs/>
          <w:color w:val="000000"/>
        </w:rPr>
        <w:t>6</w:t>
      </w:r>
    </w:p>
    <w:p w14:paraId="67819912" w14:textId="77777777" w:rsidR="00B55335" w:rsidRPr="00E92200" w:rsidRDefault="00B55335" w:rsidP="00B55335">
      <w:pPr>
        <w:ind w:left="360"/>
        <w:jc w:val="center"/>
        <w:rPr>
          <w:b/>
          <w:bCs/>
          <w:color w:val="000000"/>
        </w:rPr>
      </w:pPr>
    </w:p>
    <w:p w14:paraId="71DA238C" w14:textId="77777777" w:rsidR="00B55335" w:rsidRPr="00E92200" w:rsidRDefault="00B55335" w:rsidP="00B55335">
      <w:pPr>
        <w:widowControl w:val="0"/>
        <w:tabs>
          <w:tab w:val="left" w:pos="-720"/>
        </w:tabs>
        <w:suppressAutoHyphens/>
        <w:ind w:left="360"/>
        <w:jc w:val="both"/>
        <w:rPr>
          <w:b/>
          <w:bCs/>
          <w:color w:val="000000"/>
          <w:u w:val="single"/>
        </w:rPr>
      </w:pPr>
    </w:p>
    <w:p w14:paraId="5892B429" w14:textId="59F0D75C" w:rsidR="00B55335" w:rsidRPr="00E92200" w:rsidRDefault="00B55335" w:rsidP="00B55335">
      <w:pPr>
        <w:widowControl w:val="0"/>
        <w:suppressAutoHyphens/>
        <w:ind w:left="360"/>
        <w:jc w:val="center"/>
        <w:rPr>
          <w:b/>
          <w:bCs/>
          <w:i/>
          <w:color w:val="000000"/>
        </w:rPr>
      </w:pPr>
      <w:r>
        <w:rPr>
          <w:b/>
          <w:bCs/>
          <w:i/>
          <w:color w:val="000000"/>
        </w:rPr>
        <w:t xml:space="preserve">Oversight: </w:t>
      </w:r>
      <w:r w:rsidR="00660B42">
        <w:rPr>
          <w:b/>
          <w:bCs/>
          <w:i/>
          <w:color w:val="000000"/>
        </w:rPr>
        <w:t>Fair Chance Act – Challenges and Successes</w:t>
      </w:r>
    </w:p>
    <w:p w14:paraId="0F165DF1" w14:textId="77777777" w:rsidR="00B55335" w:rsidRPr="00E92200" w:rsidRDefault="00B55335" w:rsidP="00B55335">
      <w:pPr>
        <w:widowControl w:val="0"/>
        <w:suppressAutoHyphens/>
        <w:ind w:left="360"/>
        <w:jc w:val="both"/>
        <w:rPr>
          <w:b/>
          <w:bCs/>
          <w:color w:val="000000"/>
        </w:rPr>
      </w:pPr>
    </w:p>
    <w:p w14:paraId="681EA03E" w14:textId="77777777" w:rsidR="00B55335" w:rsidRPr="00E92200" w:rsidRDefault="00B55335" w:rsidP="00B55335">
      <w:pPr>
        <w:widowControl w:val="0"/>
        <w:suppressAutoHyphens/>
        <w:ind w:left="360"/>
        <w:jc w:val="center"/>
        <w:rPr>
          <w:snapToGrid w:val="0"/>
          <w:color w:val="000000"/>
          <w:spacing w:val="-3"/>
        </w:rPr>
      </w:pPr>
    </w:p>
    <w:p w14:paraId="79F6657A" w14:textId="77777777" w:rsidR="00B55335" w:rsidRPr="00E92200" w:rsidRDefault="00B55335" w:rsidP="00B55335">
      <w:pPr>
        <w:ind w:left="360"/>
        <w:rPr>
          <w:b/>
          <w:u w:val="single"/>
        </w:rPr>
      </w:pPr>
      <w:r w:rsidRPr="00E92200">
        <w:rPr>
          <w:b/>
          <w:u w:val="single"/>
        </w:rPr>
        <w:br w:type="page"/>
      </w:r>
    </w:p>
    <w:p w14:paraId="7C9FFC4B" w14:textId="77777777" w:rsidR="00B55335" w:rsidRDefault="00B55335" w:rsidP="00B55335">
      <w:pPr>
        <w:pStyle w:val="ListParagraph"/>
        <w:numPr>
          <w:ilvl w:val="0"/>
          <w:numId w:val="2"/>
        </w:numPr>
        <w:spacing w:line="480" w:lineRule="auto"/>
        <w:jc w:val="both"/>
        <w:rPr>
          <w:b/>
          <w:bCs/>
          <w:smallCaps/>
        </w:rPr>
      </w:pPr>
      <w:r w:rsidRPr="05521A5B">
        <w:rPr>
          <w:b/>
          <w:bCs/>
          <w:smallCaps/>
        </w:rPr>
        <w:lastRenderedPageBreak/>
        <w:t>Introduction</w:t>
      </w:r>
    </w:p>
    <w:p w14:paraId="4D4609BF" w14:textId="2BEDE5FF" w:rsidR="004B7840" w:rsidRPr="009B6EEC" w:rsidRDefault="00B55335" w:rsidP="009B6EEC">
      <w:pPr>
        <w:spacing w:line="480" w:lineRule="auto"/>
        <w:ind w:firstLine="720"/>
        <w:jc w:val="both"/>
      </w:pPr>
      <w:r>
        <w:t xml:space="preserve">On </w:t>
      </w:r>
      <w:r w:rsidR="00660B42">
        <w:t>April 28, 2026</w:t>
      </w:r>
      <w:r>
        <w:t xml:space="preserve">, the Committee on Civil and Human Rights, chaired by Council Member </w:t>
      </w:r>
      <w:r w:rsidR="00491E0D">
        <w:t>Sandy Nurse</w:t>
      </w:r>
      <w:r>
        <w:t xml:space="preserve">, will hold a hearing on </w:t>
      </w:r>
      <w:r w:rsidR="00660B42">
        <w:t>the “Fair Chance Act – Challenges and Successes.”</w:t>
      </w:r>
      <w:r>
        <w:t xml:space="preserve"> During this hearing, the Committee is looking </w:t>
      </w:r>
      <w:r w:rsidR="00660B42">
        <w:t xml:space="preserve">to hear about both the hurdles and success stories in the years since the passage of the </w:t>
      </w:r>
      <w:r w:rsidR="00443DE7">
        <w:t xml:space="preserve">Fair Chance Act </w:t>
      </w:r>
      <w:r w:rsidR="00660B42">
        <w:t>(FCA)</w:t>
      </w:r>
      <w:r w:rsidR="009B6EEC">
        <w:t xml:space="preserve"> laws</w:t>
      </w:r>
      <w:r w:rsidR="00660B42">
        <w:t xml:space="preserve">, </w:t>
      </w:r>
      <w:r w:rsidR="009B6EEC">
        <w:t xml:space="preserve">which protect against discrimination </w:t>
      </w:r>
      <w:proofErr w:type="gramStart"/>
      <w:r w:rsidR="009B6EEC">
        <w:t>on the basis of</w:t>
      </w:r>
      <w:proofErr w:type="gramEnd"/>
      <w:r w:rsidR="009B6EEC">
        <w:t xml:space="preserve"> criminal </w:t>
      </w:r>
      <w:proofErr w:type="gramStart"/>
      <w:r w:rsidR="009B6EEC">
        <w:t>record</w:t>
      </w:r>
      <w:proofErr w:type="gramEnd"/>
      <w:r w:rsidR="00660B42">
        <w:t xml:space="preserve"> in employment and housing. Additionally, the Committee </w:t>
      </w:r>
      <w:r w:rsidR="00356E8C">
        <w:t xml:space="preserve">hopes </w:t>
      </w:r>
      <w:r w:rsidR="00660B42">
        <w:t>to learn more about ongoing work to ensure the long-term success of FCA</w:t>
      </w:r>
      <w:r w:rsidR="00F8149A">
        <w:t xml:space="preserve"> and impacted individuals. T</w:t>
      </w:r>
      <w:r>
        <w:t>hose invited to testify include the New York City Commission on Human Rights (CCHR)</w:t>
      </w:r>
      <w:r w:rsidR="009B6EEC">
        <w:t>,</w:t>
      </w:r>
      <w:r w:rsidR="00984810">
        <w:t xml:space="preserve"> </w:t>
      </w:r>
      <w:r>
        <w:t xml:space="preserve">community </w:t>
      </w:r>
      <w:r w:rsidR="00356E8C">
        <w:t xml:space="preserve">and </w:t>
      </w:r>
      <w:r w:rsidR="009B6EEC">
        <w:t xml:space="preserve">legal aid organizations, </w:t>
      </w:r>
      <w:r w:rsidR="748EA30E">
        <w:t xml:space="preserve">employers and </w:t>
      </w:r>
      <w:r w:rsidR="009B6EEC">
        <w:t xml:space="preserve">real estate </w:t>
      </w:r>
      <w:r w:rsidR="748EA30E">
        <w:t>professionals,</w:t>
      </w:r>
      <w:r>
        <w:t xml:space="preserve"> and the public.</w:t>
      </w:r>
    </w:p>
    <w:p w14:paraId="03CEB31E" w14:textId="77777777" w:rsidR="00B55335" w:rsidRDefault="00B55335" w:rsidP="00B55335">
      <w:pPr>
        <w:pStyle w:val="ListParagraph"/>
        <w:numPr>
          <w:ilvl w:val="0"/>
          <w:numId w:val="2"/>
        </w:numPr>
        <w:spacing w:line="480" w:lineRule="auto"/>
        <w:rPr>
          <w:b/>
          <w:bCs/>
          <w:smallCaps/>
        </w:rPr>
      </w:pPr>
      <w:r>
        <w:rPr>
          <w:b/>
          <w:bCs/>
          <w:smallCaps/>
        </w:rPr>
        <w:t>Background</w:t>
      </w:r>
    </w:p>
    <w:p w14:paraId="461B6FA8" w14:textId="44559B7F" w:rsidR="00F8149A" w:rsidRPr="00607CD4" w:rsidRDefault="00F8149A" w:rsidP="00435404">
      <w:pPr>
        <w:pStyle w:val="ListParagraph"/>
        <w:numPr>
          <w:ilvl w:val="1"/>
          <w:numId w:val="2"/>
        </w:numPr>
        <w:spacing w:line="480" w:lineRule="auto"/>
        <w:jc w:val="both"/>
        <w:rPr>
          <w:b/>
          <w:bCs/>
          <w:i/>
          <w:iCs/>
          <w:u w:val="single"/>
        </w:rPr>
      </w:pPr>
      <w:r w:rsidRPr="00F8149A">
        <w:rPr>
          <w:b/>
          <w:bCs/>
          <w:i/>
          <w:iCs/>
        </w:rPr>
        <w:t>Prison Industrial Complex</w:t>
      </w:r>
      <w:r w:rsidR="00B07BE4">
        <w:rPr>
          <w:b/>
          <w:bCs/>
          <w:i/>
          <w:iCs/>
        </w:rPr>
        <w:t xml:space="preserve"> and Mass Incarceration</w:t>
      </w:r>
    </w:p>
    <w:p w14:paraId="476EFDEE" w14:textId="32425C88" w:rsidR="00007D95" w:rsidRDefault="00FD08D5" w:rsidP="00435404">
      <w:pPr>
        <w:spacing w:line="480" w:lineRule="auto"/>
        <w:ind w:firstLine="720"/>
        <w:jc w:val="both"/>
      </w:pPr>
      <w:r>
        <w:t xml:space="preserve">The </w:t>
      </w:r>
      <w:r w:rsidR="0010374A">
        <w:t>roots</w:t>
      </w:r>
      <w:r w:rsidR="00BB2B14">
        <w:t xml:space="preserve"> </w:t>
      </w:r>
      <w:r>
        <w:t>of mass incarceration have historically been l</w:t>
      </w:r>
      <w:r w:rsidR="00BB2B14">
        <w:t xml:space="preserve">inked to long-term </w:t>
      </w:r>
      <w:r w:rsidR="00795305">
        <w:t xml:space="preserve">fear surrounding </w:t>
      </w:r>
      <w:r w:rsidR="00B11F8D">
        <w:t>criminal behavior by racial and ethnic minorities</w:t>
      </w:r>
      <w:r w:rsidR="00621B11">
        <w:t xml:space="preserve"> and the use of that fear </w:t>
      </w:r>
      <w:r w:rsidR="00B45960">
        <w:t>t</w:t>
      </w:r>
      <w:r w:rsidR="00786BC8">
        <w:t>o justify control of these populations.</w:t>
      </w:r>
      <w:r w:rsidR="00786BC8">
        <w:rPr>
          <w:rStyle w:val="FootnoteReference"/>
        </w:rPr>
        <w:footnoteReference w:id="1"/>
      </w:r>
      <w:r w:rsidR="006E3F88">
        <w:t xml:space="preserve"> From 1850</w:t>
      </w:r>
      <w:r w:rsidR="00D66033">
        <w:t xml:space="preserve"> to 1940, racial and ethnic </w:t>
      </w:r>
      <w:r w:rsidR="005B2815">
        <w:t>minorities</w:t>
      </w:r>
      <w:r w:rsidR="00D66033">
        <w:t xml:space="preserve"> made up 40 to 50 percent of the prison population</w:t>
      </w:r>
      <w:r w:rsidR="00F600F0">
        <w:t>, with a large number bein</w:t>
      </w:r>
      <w:r w:rsidR="00405052">
        <w:t>g foreign-born</w:t>
      </w:r>
      <w:r w:rsidR="005B2815">
        <w:t>.</w:t>
      </w:r>
      <w:r w:rsidR="000825D2">
        <w:rPr>
          <w:rStyle w:val="FootnoteReference"/>
        </w:rPr>
        <w:footnoteReference w:id="2"/>
      </w:r>
      <w:r w:rsidR="00FC7612">
        <w:t xml:space="preserve"> </w:t>
      </w:r>
      <w:r w:rsidR="00AB161E">
        <w:t>In 1970, a deliberate policy decision aimed at increasing the United States prison population</w:t>
      </w:r>
      <w:r w:rsidR="00AB161E">
        <w:rPr>
          <w:rStyle w:val="FootnoteReference"/>
        </w:rPr>
        <w:footnoteReference w:id="3"/>
      </w:r>
      <w:r w:rsidR="00AB161E">
        <w:t xml:space="preserve"> set into motion what would later become </w:t>
      </w:r>
      <w:r w:rsidR="00AB161E">
        <w:lastRenderedPageBreak/>
        <w:t>known as the prison industrial complex (PIC).</w:t>
      </w:r>
      <w:r w:rsidR="00AB161E">
        <w:rPr>
          <w:rStyle w:val="FootnoteReference"/>
        </w:rPr>
        <w:footnoteReference w:id="4"/>
      </w:r>
      <w:r w:rsidR="00AB161E">
        <w:t xml:space="preserve"> </w:t>
      </w:r>
      <w:r w:rsidR="000223F0">
        <w:t>Veiled racial rhet</w:t>
      </w:r>
      <w:r w:rsidR="009755A3">
        <w:t>oric used to fear monger during</w:t>
      </w:r>
      <w:r w:rsidR="009B6EEC">
        <w:t xml:space="preserve"> political</w:t>
      </w:r>
      <w:r w:rsidR="009755A3">
        <w:t xml:space="preserve"> campaigns </w:t>
      </w:r>
      <w:r w:rsidR="002F034A">
        <w:t xml:space="preserve">helped </w:t>
      </w:r>
      <w:r w:rsidR="007567EC">
        <w:t xml:space="preserve">greatly to </w:t>
      </w:r>
      <w:r w:rsidR="00DD4950">
        <w:t xml:space="preserve">set the stage </w:t>
      </w:r>
      <w:r w:rsidR="00047E83">
        <w:t>for what was to com</w:t>
      </w:r>
      <w:r w:rsidR="00032D67">
        <w:t>e.</w:t>
      </w:r>
      <w:r w:rsidR="00032D67">
        <w:rPr>
          <w:rStyle w:val="FootnoteReference"/>
        </w:rPr>
        <w:footnoteReference w:id="5"/>
      </w:r>
      <w:r w:rsidR="00032D67">
        <w:t xml:space="preserve"> </w:t>
      </w:r>
    </w:p>
    <w:p w14:paraId="3F1FB827" w14:textId="30F816D0" w:rsidR="00356E8C" w:rsidRDefault="00032D67" w:rsidP="00435404">
      <w:pPr>
        <w:spacing w:line="480" w:lineRule="auto"/>
        <w:ind w:firstLine="720"/>
        <w:jc w:val="both"/>
      </w:pPr>
      <w:r>
        <w:t>A</w:t>
      </w:r>
      <w:r w:rsidR="00FF0FB2">
        <w:t xml:space="preserve">rguably </w:t>
      </w:r>
      <w:r w:rsidR="00525613">
        <w:t xml:space="preserve">one of the </w:t>
      </w:r>
      <w:r w:rsidR="006C22BB">
        <w:t xml:space="preserve">PIC’s </w:t>
      </w:r>
      <w:r w:rsidR="00525613">
        <w:t xml:space="preserve">biggest </w:t>
      </w:r>
      <w:r w:rsidR="00511405">
        <w:t>catalysts</w:t>
      </w:r>
      <w:r>
        <w:t xml:space="preserve">, </w:t>
      </w:r>
      <w:r w:rsidR="00273A9A">
        <w:t xml:space="preserve">the </w:t>
      </w:r>
      <w:r>
        <w:t xml:space="preserve">War on Drugs, </w:t>
      </w:r>
      <w:r w:rsidR="003108D8">
        <w:t xml:space="preserve">was </w:t>
      </w:r>
      <w:r w:rsidR="009B6EEC">
        <w:t xml:space="preserve">initially </w:t>
      </w:r>
      <w:r w:rsidR="003108D8">
        <w:t xml:space="preserve">launched by President </w:t>
      </w:r>
      <w:r w:rsidR="00994423">
        <w:t xml:space="preserve">Richard </w:t>
      </w:r>
      <w:r w:rsidR="003108D8">
        <w:t>Nixon</w:t>
      </w:r>
      <w:r w:rsidR="00360C09">
        <w:t xml:space="preserve"> as part of a “tough on crime”</w:t>
      </w:r>
      <w:r w:rsidR="00613B2E">
        <w:t xml:space="preserve"> </w:t>
      </w:r>
      <w:r w:rsidR="00006FCA">
        <w:t>policy agenda</w:t>
      </w:r>
      <w:r w:rsidR="00B93E08">
        <w:t xml:space="preserve"> but </w:t>
      </w:r>
      <w:r w:rsidR="009B6EEC">
        <w:t xml:space="preserve">later </w:t>
      </w:r>
      <w:r w:rsidR="00B93E08">
        <w:t>took sha</w:t>
      </w:r>
      <w:r w:rsidR="00994423">
        <w:t>pe under President Ronald Reagan.</w:t>
      </w:r>
      <w:r w:rsidR="00284477">
        <w:rPr>
          <w:rStyle w:val="FootnoteReference"/>
        </w:rPr>
        <w:footnoteReference w:id="6"/>
      </w:r>
      <w:r w:rsidR="00994423">
        <w:t xml:space="preserve"> </w:t>
      </w:r>
      <w:r w:rsidR="00415209">
        <w:t xml:space="preserve">When Reagan first took office in 1980, the total </w:t>
      </w:r>
      <w:r w:rsidR="00DB3FAD">
        <w:t xml:space="preserve">U.S. </w:t>
      </w:r>
      <w:r w:rsidR="00415209">
        <w:t>prison population</w:t>
      </w:r>
      <w:r w:rsidR="00DB3FAD">
        <w:t>, including both state and federal prisons,</w:t>
      </w:r>
      <w:r w:rsidR="00415209">
        <w:t xml:space="preserve"> </w:t>
      </w:r>
      <w:r w:rsidR="0009504B">
        <w:t xml:space="preserve">was </w:t>
      </w:r>
      <w:r w:rsidR="00B65E05">
        <w:t>329</w:t>
      </w:r>
      <w:r w:rsidR="00A40FA8">
        <w:t>,000</w:t>
      </w:r>
      <w:r w:rsidR="00DB3FAD">
        <w:t xml:space="preserve"> people, and</w:t>
      </w:r>
      <w:r w:rsidR="00B65E05">
        <w:t xml:space="preserve"> </w:t>
      </w:r>
      <w:r w:rsidR="00DB3FAD">
        <w:t xml:space="preserve">the imprisoned population </w:t>
      </w:r>
      <w:r w:rsidR="004B25A3">
        <w:t>nearly double</w:t>
      </w:r>
      <w:r w:rsidR="00DB3FAD">
        <w:t>d</w:t>
      </w:r>
      <w:r w:rsidR="004B25A3">
        <w:t xml:space="preserve"> in size </w:t>
      </w:r>
      <w:r w:rsidR="00284477">
        <w:t xml:space="preserve">by the time he </w:t>
      </w:r>
      <w:r w:rsidR="009B6EEC">
        <w:t xml:space="preserve">left </w:t>
      </w:r>
      <w:r w:rsidR="00284477">
        <w:t>office.</w:t>
      </w:r>
      <w:r w:rsidR="003804C5">
        <w:rPr>
          <w:rStyle w:val="FootnoteReference"/>
        </w:rPr>
        <w:footnoteReference w:id="7"/>
      </w:r>
      <w:r w:rsidR="00511405">
        <w:t xml:space="preserve"> </w:t>
      </w:r>
      <w:r w:rsidR="00C9601C">
        <w:t>Later on, t</w:t>
      </w:r>
      <w:r w:rsidR="00381A93">
        <w:t>he passage</w:t>
      </w:r>
      <w:r w:rsidR="00C305F4">
        <w:t xml:space="preserve"> of the 1994 Crime Bill</w:t>
      </w:r>
      <w:r w:rsidR="007E443B">
        <w:t xml:space="preserve"> </w:t>
      </w:r>
      <w:r w:rsidR="00604494">
        <w:t xml:space="preserve">provided financial incentive for states to fill </w:t>
      </w:r>
      <w:r w:rsidR="003F7CAE">
        <w:t>prisons</w:t>
      </w:r>
      <w:r w:rsidR="00D12D4E">
        <w:t>.</w:t>
      </w:r>
      <w:r w:rsidR="00374EAC">
        <w:rPr>
          <w:rStyle w:val="FootnoteReference"/>
        </w:rPr>
        <w:footnoteReference w:id="8"/>
      </w:r>
      <w:r w:rsidR="00D12D4E">
        <w:t xml:space="preserve"> </w:t>
      </w:r>
      <w:r w:rsidR="00F24043">
        <w:t>A</w:t>
      </w:r>
      <w:r w:rsidR="00B16641">
        <w:t xml:space="preserve"> crucial component of maintaining a high </w:t>
      </w:r>
      <w:r w:rsidR="009B6EEC">
        <w:t xml:space="preserve">incarcerated </w:t>
      </w:r>
      <w:r w:rsidR="00B16641">
        <w:t>population came from the Truth-</w:t>
      </w:r>
      <w:r w:rsidR="003C09E5">
        <w:t xml:space="preserve">In-Sentencing grant program, </w:t>
      </w:r>
      <w:r w:rsidR="009F5250">
        <w:t xml:space="preserve">which </w:t>
      </w:r>
      <w:r w:rsidR="009B6EEC">
        <w:t xml:space="preserve">made states’ eligibility for funding contingent on </w:t>
      </w:r>
      <w:r w:rsidR="00BF786A">
        <w:t>requir</w:t>
      </w:r>
      <w:r w:rsidR="009B6EEC">
        <w:t>ing</w:t>
      </w:r>
      <w:r w:rsidR="00BF786A">
        <w:t xml:space="preserve"> </w:t>
      </w:r>
      <w:r w:rsidR="009B6EEC">
        <w:t xml:space="preserve">people </w:t>
      </w:r>
      <w:r w:rsidR="00F42C94">
        <w:t xml:space="preserve">convicted of violent crime to serve at least 85 percent of their sentence in </w:t>
      </w:r>
      <w:r w:rsidR="009B6EEC">
        <w:t>prison</w:t>
      </w:r>
      <w:r w:rsidR="005957B5">
        <w:t>.</w:t>
      </w:r>
      <w:r w:rsidR="00B8555A">
        <w:rPr>
          <w:rStyle w:val="FootnoteReference"/>
        </w:rPr>
        <w:footnoteReference w:id="9"/>
      </w:r>
      <w:r w:rsidR="00AD6168">
        <w:t xml:space="preserve"> </w:t>
      </w:r>
      <w:r w:rsidR="001A147E">
        <w:t>Between 1972 and 2009, the number of people imprisoned gre</w:t>
      </w:r>
      <w:r w:rsidR="005716F1">
        <w:t>w by nearly 700 percent</w:t>
      </w:r>
      <w:r w:rsidR="00403B4E">
        <w:t xml:space="preserve"> despite crime rates </w:t>
      </w:r>
      <w:r w:rsidR="008931E5">
        <w:t xml:space="preserve">greatly declining </w:t>
      </w:r>
      <w:r w:rsidR="00210E80">
        <w:t>after peaking in 199</w:t>
      </w:r>
      <w:r w:rsidR="005D5348">
        <w:t>1</w:t>
      </w:r>
      <w:r w:rsidR="00492CA6">
        <w:t>.</w:t>
      </w:r>
      <w:r w:rsidR="00C0055E">
        <w:rPr>
          <w:rStyle w:val="FootnoteReference"/>
        </w:rPr>
        <w:footnoteReference w:id="10"/>
      </w:r>
      <w:r w:rsidR="00492CA6">
        <w:t xml:space="preserve"> </w:t>
      </w:r>
      <w:r w:rsidR="00356E8C">
        <w:t>In 2023, the total number of people imprisoned (including both federal and state) was over 1.25 million.</w:t>
      </w:r>
      <w:r w:rsidR="00356E8C">
        <w:rPr>
          <w:rStyle w:val="FootnoteReference"/>
        </w:rPr>
        <w:footnoteReference w:id="11"/>
      </w:r>
    </w:p>
    <w:p w14:paraId="08C94BFA" w14:textId="77777777" w:rsidR="009F3B13" w:rsidRDefault="009F3B13" w:rsidP="00435404">
      <w:pPr>
        <w:spacing w:line="480" w:lineRule="auto"/>
        <w:ind w:firstLine="720"/>
        <w:jc w:val="both"/>
      </w:pPr>
    </w:p>
    <w:p w14:paraId="0FE6780F" w14:textId="77777777" w:rsidR="009F3B13" w:rsidRPr="00607CD4" w:rsidRDefault="009F3B13" w:rsidP="00435404">
      <w:pPr>
        <w:spacing w:line="480" w:lineRule="auto"/>
        <w:ind w:firstLine="720"/>
        <w:jc w:val="both"/>
      </w:pPr>
    </w:p>
    <w:p w14:paraId="1D249EF5" w14:textId="67C21D69" w:rsidR="00F8149A" w:rsidRPr="00D557C3" w:rsidRDefault="00D557C3" w:rsidP="00F8149A">
      <w:pPr>
        <w:pStyle w:val="ListParagraph"/>
        <w:numPr>
          <w:ilvl w:val="1"/>
          <w:numId w:val="2"/>
        </w:numPr>
        <w:spacing w:line="480" w:lineRule="auto"/>
        <w:jc w:val="both"/>
        <w:rPr>
          <w:b/>
          <w:i/>
        </w:rPr>
      </w:pPr>
      <w:r w:rsidRPr="00D557C3">
        <w:rPr>
          <w:b/>
          <w:i/>
          <w:iCs/>
        </w:rPr>
        <w:lastRenderedPageBreak/>
        <w:t>Modern Day Trends</w:t>
      </w:r>
    </w:p>
    <w:p w14:paraId="20F2E875" w14:textId="4B68472F" w:rsidR="00F8149A" w:rsidRPr="00664FF6" w:rsidRDefault="002D6783" w:rsidP="00435404">
      <w:pPr>
        <w:spacing w:line="480" w:lineRule="auto"/>
        <w:ind w:firstLine="720"/>
        <w:jc w:val="both"/>
      </w:pPr>
      <w:r>
        <w:t>Currently, the U.S</w:t>
      </w:r>
      <w:r w:rsidR="006A1080">
        <w:t>.</w:t>
      </w:r>
      <w:r>
        <w:t xml:space="preserve"> has the largest prison population in the world, with roughly 1.83</w:t>
      </w:r>
      <w:r w:rsidR="00F8149A">
        <w:t xml:space="preserve"> million </w:t>
      </w:r>
      <w:r>
        <w:t xml:space="preserve">total </w:t>
      </w:r>
      <w:r w:rsidR="00F8149A">
        <w:t>people incarcerated</w:t>
      </w:r>
      <w:r>
        <w:t>.</w:t>
      </w:r>
      <w:r>
        <w:rPr>
          <w:rStyle w:val="FootnoteReference"/>
        </w:rPr>
        <w:footnoteReference w:id="12"/>
      </w:r>
      <w:r>
        <w:t xml:space="preserve"> </w:t>
      </w:r>
      <w:r w:rsidR="00FA27E1" w:rsidRPr="00664FF6">
        <w:t>The societal barriers to reintegration created by having a criminal background is a highly intersectional issue</w:t>
      </w:r>
      <w:r w:rsidR="00FA27E1">
        <w:rPr>
          <w:rStyle w:val="FootnoteReference"/>
        </w:rPr>
        <w:footnoteReference w:id="13"/>
      </w:r>
      <w:r w:rsidR="00FA27E1">
        <w:t xml:space="preserve"> and</w:t>
      </w:r>
      <w:r>
        <w:t xml:space="preserve"> has consistently</w:t>
      </w:r>
      <w:r w:rsidR="009B6EEC">
        <w:t xml:space="preserve"> and</w:t>
      </w:r>
      <w:r>
        <w:t xml:space="preserve"> disproportionately impacted </w:t>
      </w:r>
      <w:r w:rsidR="00C35CAE">
        <w:t xml:space="preserve">some </w:t>
      </w:r>
      <w:r>
        <w:t xml:space="preserve">communities </w:t>
      </w:r>
      <w:r w:rsidR="00C35CAE">
        <w:t xml:space="preserve">more than others </w:t>
      </w:r>
      <w:r w:rsidR="00D26B6D">
        <w:t>to a</w:t>
      </w:r>
      <w:r w:rsidR="00C35CAE">
        <w:t xml:space="preserve"> </w:t>
      </w:r>
      <w:r>
        <w:t xml:space="preserve">staggering </w:t>
      </w:r>
      <w:r w:rsidR="00D26B6D">
        <w:t>degree</w:t>
      </w:r>
      <w:r>
        <w:t>.</w:t>
      </w:r>
      <w:r w:rsidR="009443D7">
        <w:t xml:space="preserve"> For example, w</w:t>
      </w:r>
      <w:r>
        <w:t xml:space="preserve">hile only about 13 percent of the general U.S. population is Black, </w:t>
      </w:r>
      <w:r w:rsidR="009B6EEC">
        <w:t xml:space="preserve">Black individuals </w:t>
      </w:r>
      <w:r>
        <w:t>make up 37 percent of people in prison</w:t>
      </w:r>
      <w:r w:rsidR="00F8149A">
        <w:t xml:space="preserve"> or </w:t>
      </w:r>
      <w:r>
        <w:t>jail</w:t>
      </w:r>
      <w:r>
        <w:rPr>
          <w:rStyle w:val="FootnoteReference"/>
        </w:rPr>
        <w:footnoteReference w:id="14"/>
      </w:r>
      <w:r>
        <w:t xml:space="preserve"> and 30 percent of people on probation or parole</w:t>
      </w:r>
      <w:r w:rsidR="006C7F40">
        <w:t>.</w:t>
      </w:r>
      <w:r>
        <w:rPr>
          <w:rStyle w:val="FootnoteReference"/>
        </w:rPr>
        <w:footnoteReference w:id="15"/>
      </w:r>
      <w:r>
        <w:t xml:space="preserve"> </w:t>
      </w:r>
      <w:r w:rsidR="00D32796">
        <w:t>Additionally</w:t>
      </w:r>
      <w:r>
        <w:t>, the arrest rate for Black Americans is over double that of white Americans</w:t>
      </w:r>
      <w:r w:rsidR="009B6EEC">
        <w:t>, leaving arrest records that can negatively impact someone’s employment and housing options even if they were never charged with or convicted of a crime</w:t>
      </w:r>
      <w:r>
        <w:t>.</w:t>
      </w:r>
      <w:r>
        <w:rPr>
          <w:rStyle w:val="FootnoteReference"/>
        </w:rPr>
        <w:footnoteReference w:id="16"/>
      </w:r>
      <w:r w:rsidR="006127EB">
        <w:t xml:space="preserve"> </w:t>
      </w:r>
      <w:r w:rsidR="006D7243">
        <w:t>O</w:t>
      </w:r>
      <w:r w:rsidR="00C7324F">
        <w:t xml:space="preserve">ther </w:t>
      </w:r>
      <w:r w:rsidR="00F8149A">
        <w:t>marginalized communities</w:t>
      </w:r>
      <w:r w:rsidR="00D05199">
        <w:t xml:space="preserve">, including </w:t>
      </w:r>
      <w:r w:rsidR="006127EB">
        <w:t xml:space="preserve">other </w:t>
      </w:r>
      <w:r w:rsidR="00F8149A">
        <w:t>communities of color, LGBTQIA+, and those with histories of mental illness</w:t>
      </w:r>
      <w:r w:rsidR="00D05199">
        <w:t>,</w:t>
      </w:r>
      <w:r w:rsidR="00F8149A">
        <w:t xml:space="preserve"> are </w:t>
      </w:r>
      <w:r w:rsidR="006D7243">
        <w:t xml:space="preserve">also </w:t>
      </w:r>
      <w:r w:rsidR="00F8149A">
        <w:t>disproportionately incarcerated.</w:t>
      </w:r>
      <w:r w:rsidR="00F8149A">
        <w:rPr>
          <w:rStyle w:val="FootnoteReference"/>
        </w:rPr>
        <w:footnoteReference w:id="17"/>
      </w:r>
      <w:r w:rsidR="00F8149A">
        <w:t xml:space="preserve"> </w:t>
      </w:r>
      <w:r w:rsidR="00FA27E1" w:rsidRPr="00664FF6">
        <w:t>New York, in particular, has an incarceration rate of 443 per 100,000 people.</w:t>
      </w:r>
      <w:r w:rsidR="00FA27E1" w:rsidRPr="00664FF6">
        <w:rPr>
          <w:rStyle w:val="FootnoteReference"/>
        </w:rPr>
        <w:footnoteReference w:id="18"/>
      </w:r>
      <w:r w:rsidR="00FA27E1" w:rsidRPr="00664FF6">
        <w:t xml:space="preserve"> While Black and </w:t>
      </w:r>
      <w:r w:rsidR="00A40FA8" w:rsidRPr="00664FF6">
        <w:t>Latin</w:t>
      </w:r>
      <w:r w:rsidR="00A40FA8">
        <w:t>o</w:t>
      </w:r>
      <w:r w:rsidR="00A40FA8" w:rsidRPr="00664FF6">
        <w:t xml:space="preserve"> </w:t>
      </w:r>
      <w:r w:rsidR="00FA27E1" w:rsidRPr="00664FF6">
        <w:t>people repr</w:t>
      </w:r>
      <w:r w:rsidR="00FA27E1">
        <w:t>esent 16 percent and 18 percent of New York’s</w:t>
      </w:r>
      <w:r w:rsidR="00FA27E1" w:rsidRPr="00664FF6">
        <w:t xml:space="preserve"> population, respectively, they are incarcerated a</w:t>
      </w:r>
      <w:r w:rsidR="00FA27E1">
        <w:t>t a disproportionate rate of 53 percent and 22 percent</w:t>
      </w:r>
      <w:r w:rsidR="00FA27E1" w:rsidRPr="00664FF6">
        <w:t>.</w:t>
      </w:r>
      <w:r w:rsidR="00FA27E1" w:rsidRPr="00664FF6">
        <w:rPr>
          <w:rStyle w:val="FootnoteReference"/>
        </w:rPr>
        <w:footnoteReference w:id="19"/>
      </w:r>
      <w:r w:rsidR="00FA27E1" w:rsidRPr="00664FF6">
        <w:t xml:space="preserve"> </w:t>
      </w:r>
      <w:r w:rsidR="00F8149A">
        <w:t>Further</w:t>
      </w:r>
      <w:r w:rsidR="003C7C5E">
        <w:t>more</w:t>
      </w:r>
      <w:r w:rsidR="00F8149A">
        <w:t>, o</w:t>
      </w:r>
      <w:r w:rsidR="00F8149A" w:rsidRPr="00664FF6">
        <w:t>ne in three people in the United States (U.S.) has a criminal record.</w:t>
      </w:r>
      <w:r w:rsidR="00F8149A" w:rsidRPr="00664FF6">
        <w:rPr>
          <w:rStyle w:val="FootnoteReference"/>
        </w:rPr>
        <w:footnoteReference w:id="20"/>
      </w:r>
      <w:r w:rsidR="00F8149A">
        <w:t xml:space="preserve"> In New York, </w:t>
      </w:r>
      <w:r w:rsidR="004A5FB9">
        <w:lastRenderedPageBreak/>
        <w:t>over 2</w:t>
      </w:r>
      <w:r w:rsidR="00F8149A">
        <w:t xml:space="preserve"> million people have a criminal record of some kind</w:t>
      </w:r>
      <w:r w:rsidR="00F8149A">
        <w:rPr>
          <w:rStyle w:val="FootnoteReference"/>
        </w:rPr>
        <w:footnoteReference w:id="21"/>
      </w:r>
      <w:r w:rsidR="00F8149A">
        <w:t xml:space="preserve"> and approximately 750,000 New York City residents have a criminal conviction.</w:t>
      </w:r>
      <w:r w:rsidR="00F8149A">
        <w:rPr>
          <w:rStyle w:val="FootnoteReference"/>
        </w:rPr>
        <w:footnoteReference w:id="22"/>
      </w:r>
      <w:r w:rsidR="00F8149A" w:rsidRPr="00664FF6">
        <w:t xml:space="preserve"> </w:t>
      </w:r>
      <w:r w:rsidR="00F8149A">
        <w:t>Among the many ongoing challenges of having</w:t>
      </w:r>
      <w:r w:rsidR="00F8149A" w:rsidRPr="00664FF6">
        <w:t xml:space="preserve"> a criminal record</w:t>
      </w:r>
      <w:r w:rsidR="00F8149A">
        <w:t>, it often</w:t>
      </w:r>
      <w:r w:rsidR="00F8149A" w:rsidRPr="00664FF6">
        <w:t xml:space="preserve"> impedes the search for housing where criminal background checks are required as part of the tenant application process. </w:t>
      </w:r>
      <w:r w:rsidR="00F8149A">
        <w:t>Notably, f</w:t>
      </w:r>
      <w:r w:rsidR="00F8149A" w:rsidRPr="00664FF6">
        <w:t>ormerly incarcerated people are ten times as likely to become homeless after release from jail or prison as those without a criminal record.</w:t>
      </w:r>
      <w:r w:rsidR="00F8149A" w:rsidRPr="00664FF6">
        <w:rPr>
          <w:rStyle w:val="FootnoteReference"/>
        </w:rPr>
        <w:footnoteReference w:id="23"/>
      </w:r>
      <w:r w:rsidR="00F8149A" w:rsidRPr="00664FF6">
        <w:t xml:space="preserve"> </w:t>
      </w:r>
      <w:r w:rsidR="00016362" w:rsidRPr="00664FF6">
        <w:t>Another study found that in certain large urban areas, 30 to 50</w:t>
      </w:r>
      <w:r w:rsidR="00016362">
        <w:t xml:space="preserve"> percent</w:t>
      </w:r>
      <w:r w:rsidR="00016362" w:rsidRPr="00664FF6">
        <w:t xml:space="preserve"> of people on parole were homeless.</w:t>
      </w:r>
      <w:r w:rsidR="00016362" w:rsidRPr="00664FF6">
        <w:rPr>
          <w:rStyle w:val="FootnoteReference"/>
        </w:rPr>
        <w:footnoteReference w:id="24"/>
      </w:r>
      <w:r w:rsidR="00016362" w:rsidRPr="00664FF6">
        <w:t xml:space="preserve"> </w:t>
      </w:r>
      <w:r w:rsidR="00016362">
        <w:t>E</w:t>
      </w:r>
      <w:r w:rsidR="00016362" w:rsidRPr="002A33DF">
        <w:t xml:space="preserve">xclusionary housing policies </w:t>
      </w:r>
      <w:r w:rsidR="00016362">
        <w:t xml:space="preserve">often </w:t>
      </w:r>
      <w:r w:rsidR="00016362" w:rsidRPr="002A33DF">
        <w:t>forc</w:t>
      </w:r>
      <w:r w:rsidR="00016362">
        <w:t>e families to</w:t>
      </w:r>
      <w:r w:rsidR="00016362" w:rsidRPr="002A33DF">
        <w:t xml:space="preserve"> choose between excluding a family member with a criminal record or losing their home</w:t>
      </w:r>
      <w:r w:rsidR="00016362">
        <w:t>, creating ripple effects of housing instability or family separation that contribute to broader structural discrimination</w:t>
      </w:r>
      <w:r w:rsidR="00016362" w:rsidRPr="002A33DF">
        <w:t>.</w:t>
      </w:r>
      <w:r w:rsidR="00016362">
        <w:rPr>
          <w:rStyle w:val="FootnoteReference"/>
        </w:rPr>
        <w:footnoteReference w:id="25"/>
      </w:r>
      <w:r w:rsidR="00016362" w:rsidRPr="00664FF6">
        <w:t xml:space="preserve"> </w:t>
      </w:r>
      <w:r w:rsidR="00F8149A" w:rsidRPr="00664FF6">
        <w:t>A survey of formerly incarcerated people and their families found that 79</w:t>
      </w:r>
      <w:r w:rsidR="00F8149A">
        <w:t xml:space="preserve"> percent</w:t>
      </w:r>
      <w:r w:rsidR="00F8149A" w:rsidRPr="00664FF6">
        <w:t xml:space="preserve"> of participants were denied housing due to either their own or a loved one’s criminal record.</w:t>
      </w:r>
      <w:r w:rsidR="00F8149A" w:rsidRPr="00664FF6">
        <w:rPr>
          <w:rStyle w:val="FootnoteReference"/>
        </w:rPr>
        <w:footnoteReference w:id="26"/>
      </w:r>
      <w:r w:rsidR="00F8149A" w:rsidRPr="00664FF6">
        <w:t xml:space="preserve"> </w:t>
      </w:r>
    </w:p>
    <w:p w14:paraId="5C785DBE" w14:textId="60946938" w:rsidR="00991462" w:rsidRDefault="00F8149A" w:rsidP="00F8149A">
      <w:pPr>
        <w:spacing w:line="480" w:lineRule="auto"/>
        <w:jc w:val="both"/>
      </w:pPr>
      <w:r w:rsidRPr="00664FF6">
        <w:tab/>
      </w:r>
      <w:r w:rsidR="00D61641">
        <w:t xml:space="preserve">Even after having served a sentence in full, </w:t>
      </w:r>
      <w:r w:rsidR="00991462" w:rsidRPr="00991462">
        <w:t xml:space="preserve">having a criminal record </w:t>
      </w:r>
      <w:r w:rsidR="00D61641">
        <w:t xml:space="preserve">can </w:t>
      </w:r>
      <w:r w:rsidR="00991462" w:rsidRPr="00991462">
        <w:t>impede an individual’s ability to successfully reintegrate into society</w:t>
      </w:r>
      <w:r w:rsidR="00D61641">
        <w:t xml:space="preserve"> for years afterwards</w:t>
      </w:r>
      <w:r w:rsidR="00991462" w:rsidRPr="00991462">
        <w:t xml:space="preserve">. One such challenge is securing employment. Formerly incarcerated individuals experience unemployment at a rate of around six out of every ten people </w:t>
      </w:r>
      <w:r w:rsidR="00D61641">
        <w:t xml:space="preserve">during the </w:t>
      </w:r>
      <w:r w:rsidR="00991462" w:rsidRPr="00991462">
        <w:t xml:space="preserve">four years after release, </w:t>
      </w:r>
      <w:r w:rsidR="00D61641">
        <w:t xml:space="preserve">although more </w:t>
      </w:r>
      <w:r w:rsidR="00991462" w:rsidRPr="00991462">
        <w:t xml:space="preserve">than 93 percent of formerly incarcerated </w:t>
      </w:r>
      <w:r w:rsidR="00D61641">
        <w:t xml:space="preserve">individuals state </w:t>
      </w:r>
      <w:r w:rsidR="00991462" w:rsidRPr="00991462">
        <w:t xml:space="preserve">that they are actively working or looking for </w:t>
      </w:r>
      <w:r w:rsidR="00991462" w:rsidRPr="00991462">
        <w:lastRenderedPageBreak/>
        <w:t>work.</w:t>
      </w:r>
      <w:r w:rsidR="00991462" w:rsidRPr="00991462">
        <w:rPr>
          <w:rStyle w:val="FootnoteReference"/>
        </w:rPr>
        <w:footnoteReference w:id="27"/>
      </w:r>
      <w:r w:rsidR="00991462" w:rsidRPr="00991462">
        <w:t xml:space="preserve"> Studies have found that individuals are less likely to commit crimes when they have stable, full time employment.</w:t>
      </w:r>
      <w:r w:rsidR="00991462" w:rsidRPr="00991462">
        <w:rPr>
          <w:rStyle w:val="FootnoteReference"/>
        </w:rPr>
        <w:footnoteReference w:id="28"/>
      </w:r>
      <w:r w:rsidR="00991462" w:rsidRPr="00991462">
        <w:t xml:space="preserve"> Those who struggle to secure and/or maintain employment experience recidivism at a rate of 52 percent over three years, </w:t>
      </w:r>
      <w:r w:rsidR="00D61641">
        <w:t xml:space="preserve">significantly higher than the rate for </w:t>
      </w:r>
      <w:r w:rsidR="00991462" w:rsidRPr="00991462">
        <w:t>those who are stably employed (16 percent).</w:t>
      </w:r>
      <w:r w:rsidR="00991462" w:rsidRPr="00991462">
        <w:rPr>
          <w:rStyle w:val="FootnoteReference"/>
        </w:rPr>
        <w:footnoteReference w:id="29"/>
      </w:r>
    </w:p>
    <w:p w14:paraId="38C502A3" w14:textId="685B67CE" w:rsidR="00320356" w:rsidRDefault="00F8149A" w:rsidP="00991462">
      <w:pPr>
        <w:spacing w:line="480" w:lineRule="auto"/>
        <w:ind w:firstLine="720"/>
        <w:jc w:val="both"/>
      </w:pPr>
      <w:r w:rsidRPr="00664FF6">
        <w:t xml:space="preserve">The </w:t>
      </w:r>
      <w:r w:rsidR="006F0508">
        <w:t>inaccessibility</w:t>
      </w:r>
      <w:r w:rsidRPr="00664FF6">
        <w:t xml:space="preserve"> of housing for formerly incarcerated people is a</w:t>
      </w:r>
      <w:r w:rsidR="00D61641">
        <w:t>nother</w:t>
      </w:r>
      <w:r w:rsidRPr="00664FF6">
        <w:t xml:space="preserve"> barrier to reintegration </w:t>
      </w:r>
      <w:r w:rsidR="00D61641">
        <w:t xml:space="preserve">that </w:t>
      </w:r>
      <w:r w:rsidRPr="00664FF6">
        <w:t>can perpetuate the cycle of criminality if not addressed. For example, a study by the Urban Institute found that 61</w:t>
      </w:r>
      <w:r>
        <w:t xml:space="preserve"> percent</w:t>
      </w:r>
      <w:r w:rsidRPr="00664FF6">
        <w:t xml:space="preserve"> of formerly incarcerated individuals were less likely to be re-incarcerated if they received supportive housing.</w:t>
      </w:r>
      <w:r w:rsidRPr="00664FF6">
        <w:rPr>
          <w:rStyle w:val="FootnoteReference"/>
        </w:rPr>
        <w:footnoteReference w:id="30"/>
      </w:r>
      <w:r w:rsidRPr="00664FF6">
        <w:t xml:space="preserve"> A study conducted by the Vera Institute with formerly incarcerated individuals living in New York City also found that those who were homeless after their first month out on parole were seven times more likely to abscond from their release terms.</w:t>
      </w:r>
      <w:r w:rsidRPr="00664FF6">
        <w:rPr>
          <w:rStyle w:val="FootnoteReference"/>
        </w:rPr>
        <w:footnoteReference w:id="31"/>
      </w:r>
      <w:r w:rsidRPr="00664FF6">
        <w:t xml:space="preserve"> </w:t>
      </w:r>
    </w:p>
    <w:p w14:paraId="39D84190" w14:textId="740CEC67" w:rsidR="00320356" w:rsidRPr="00320356" w:rsidRDefault="00320356" w:rsidP="00320356">
      <w:pPr>
        <w:pStyle w:val="ListParagraph"/>
        <w:numPr>
          <w:ilvl w:val="1"/>
          <w:numId w:val="2"/>
        </w:numPr>
        <w:spacing w:line="480" w:lineRule="auto"/>
        <w:jc w:val="both"/>
        <w:rPr>
          <w:b/>
          <w:bCs/>
          <w:i/>
          <w:iCs/>
        </w:rPr>
      </w:pPr>
      <w:r w:rsidRPr="00320356">
        <w:rPr>
          <w:b/>
          <w:bCs/>
          <w:i/>
          <w:iCs/>
        </w:rPr>
        <w:t>Fair Chance</w:t>
      </w:r>
      <w:r w:rsidR="00EF5B85">
        <w:rPr>
          <w:b/>
          <w:bCs/>
          <w:i/>
          <w:iCs/>
        </w:rPr>
        <w:t xml:space="preserve"> Act</w:t>
      </w:r>
      <w:r w:rsidRPr="00320356">
        <w:rPr>
          <w:b/>
          <w:bCs/>
          <w:i/>
          <w:iCs/>
        </w:rPr>
        <w:t xml:space="preserve"> </w:t>
      </w:r>
      <w:r w:rsidR="00E53C64">
        <w:rPr>
          <w:b/>
          <w:bCs/>
          <w:i/>
          <w:iCs/>
        </w:rPr>
        <w:t>in New York City</w:t>
      </w:r>
    </w:p>
    <w:p w14:paraId="3BFEEB5F" w14:textId="4FD5E881" w:rsidR="00ED2821" w:rsidRDefault="2D7F69E0" w:rsidP="00F9521E">
      <w:pPr>
        <w:spacing w:line="480" w:lineRule="auto"/>
        <w:ind w:firstLine="720"/>
        <w:jc w:val="both"/>
      </w:pPr>
      <w:r>
        <w:t>T</w:t>
      </w:r>
      <w:r w:rsidR="00F8149A">
        <w:t>o address these issues</w:t>
      </w:r>
      <w:r w:rsidR="2CB89880">
        <w:t>,</w:t>
      </w:r>
      <w:r w:rsidR="00F8149A">
        <w:t xml:space="preserve"> the City Council passed the </w:t>
      </w:r>
      <w:r w:rsidR="00156716">
        <w:t xml:space="preserve">first </w:t>
      </w:r>
      <w:r w:rsidR="00F8149A">
        <w:t xml:space="preserve">Fair Chance Act </w:t>
      </w:r>
      <w:r w:rsidR="00FD04CE">
        <w:t xml:space="preserve">(FCA) </w:t>
      </w:r>
      <w:r w:rsidR="00F8149A">
        <w:t>(Local Law 63 of 2015) to increase access to employment opportunities for those with criminal records</w:t>
      </w:r>
      <w:r w:rsidR="00A40FA8">
        <w:t>. The protections in the FCA</w:t>
      </w:r>
      <w:r w:rsidR="02333DE0">
        <w:t xml:space="preserve"> were </w:t>
      </w:r>
      <w:r w:rsidR="59414CDD">
        <w:t xml:space="preserve">further </w:t>
      </w:r>
      <w:r w:rsidR="02333DE0">
        <w:t xml:space="preserve">expanded </w:t>
      </w:r>
      <w:r w:rsidR="6509EBCB">
        <w:t>under Local Law 4 of 2021</w:t>
      </w:r>
      <w:r w:rsidR="00F8149A">
        <w:t>.</w:t>
      </w:r>
      <w:r w:rsidR="00ED2821">
        <w:t xml:space="preserve"> </w:t>
      </w:r>
      <w:r w:rsidR="00C919A1">
        <w:t xml:space="preserve">Under the </w:t>
      </w:r>
      <w:r w:rsidR="00FD04CE">
        <w:t>FCA</w:t>
      </w:r>
      <w:r w:rsidR="002C376B">
        <w:t xml:space="preserve">, </w:t>
      </w:r>
      <w:r w:rsidR="00ED2821" w:rsidRPr="00ED2821">
        <w:t xml:space="preserve">it </w:t>
      </w:r>
      <w:r w:rsidR="002C376B">
        <w:t xml:space="preserve">is </w:t>
      </w:r>
      <w:r w:rsidR="00ED2821" w:rsidRPr="00ED2821">
        <w:t xml:space="preserve">illegal for most employers to ask about </w:t>
      </w:r>
      <w:r w:rsidR="00B50105">
        <w:t>an applicant’s</w:t>
      </w:r>
      <w:r w:rsidR="00ED2821" w:rsidRPr="00ED2821">
        <w:t xml:space="preserve"> criminal record before making a job offer</w:t>
      </w:r>
      <w:r w:rsidR="008D582B">
        <w:t xml:space="preserve"> </w:t>
      </w:r>
      <w:r w:rsidR="008D582B">
        <w:lastRenderedPageBreak/>
        <w:t xml:space="preserve">or to include </w:t>
      </w:r>
      <w:r w:rsidR="002E671A">
        <w:t xml:space="preserve">such </w:t>
      </w:r>
      <w:r w:rsidR="00554548">
        <w:t>requirement</w:t>
      </w:r>
      <w:r w:rsidR="002E671A">
        <w:t xml:space="preserve"> in a job advertisement</w:t>
      </w:r>
      <w:r w:rsidR="00ED2821" w:rsidRPr="00ED2821">
        <w:t xml:space="preserve">. Employers are also prohibited from rejecting </w:t>
      </w:r>
      <w:r w:rsidR="00903260">
        <w:t xml:space="preserve">an </w:t>
      </w:r>
      <w:r w:rsidR="00ED2821" w:rsidRPr="00ED2821">
        <w:t>applicant</w:t>
      </w:r>
      <w:r w:rsidR="00850D6C">
        <w:t xml:space="preserve"> </w:t>
      </w:r>
      <w:r w:rsidR="00ED2821" w:rsidRPr="00ED2821">
        <w:t xml:space="preserve">or taking adverse action </w:t>
      </w:r>
      <w:r w:rsidR="00850D6C">
        <w:t xml:space="preserve">against an employee </w:t>
      </w:r>
      <w:r w:rsidR="00ED2821" w:rsidRPr="00ED2821">
        <w:t xml:space="preserve">based on </w:t>
      </w:r>
      <w:r w:rsidR="00A40FA8">
        <w:t xml:space="preserve">their </w:t>
      </w:r>
      <w:r w:rsidR="00ED2821" w:rsidRPr="00ED2821">
        <w:t>criminal history</w:t>
      </w:r>
      <w:r w:rsidR="00554548">
        <w:t>,</w:t>
      </w:r>
      <w:r w:rsidR="00ED2821" w:rsidRPr="00ED2821">
        <w:t xml:space="preserve"> unless there is a direct relationship between the alleged or convicted crime and the job</w:t>
      </w:r>
      <w:r w:rsidR="00A85464">
        <w:t>,</w:t>
      </w:r>
      <w:r w:rsidR="00ED2821" w:rsidRPr="00ED2821">
        <w:t xml:space="preserve"> or </w:t>
      </w:r>
      <w:r w:rsidR="00BD4EDB">
        <w:t xml:space="preserve">if </w:t>
      </w:r>
      <w:r w:rsidR="00696B3B">
        <w:t xml:space="preserve">that </w:t>
      </w:r>
      <w:r w:rsidR="00ED2821" w:rsidRPr="00ED2821">
        <w:t xml:space="preserve">person </w:t>
      </w:r>
      <w:proofErr w:type="gramStart"/>
      <w:r w:rsidR="00696B3B">
        <w:t xml:space="preserve">would </w:t>
      </w:r>
      <w:r w:rsidR="00ED2821" w:rsidRPr="00ED2821">
        <w:t>pose</w:t>
      </w:r>
      <w:proofErr w:type="gramEnd"/>
      <w:r w:rsidR="00ED2821" w:rsidRPr="00ED2821">
        <w:t xml:space="preserve"> an unreasonable risk to people or property</w:t>
      </w:r>
      <w:r w:rsidR="0068126E">
        <w:t xml:space="preserve"> associated with the job</w:t>
      </w:r>
      <w:r w:rsidR="00ED2821" w:rsidRPr="00ED2821">
        <w:t xml:space="preserve">. Employers </w:t>
      </w:r>
      <w:r w:rsidR="00466A18">
        <w:t xml:space="preserve">must consider </w:t>
      </w:r>
      <w:r w:rsidR="00DA63C6">
        <w:t xml:space="preserve">prospective </w:t>
      </w:r>
      <w:r w:rsidR="00BD227A">
        <w:t xml:space="preserve">employees </w:t>
      </w:r>
      <w:r w:rsidR="00ED2821" w:rsidRPr="00ED2821">
        <w:t xml:space="preserve">based on specific factors set forth in the law and must provide </w:t>
      </w:r>
      <w:r w:rsidR="005249F5">
        <w:t xml:space="preserve">an </w:t>
      </w:r>
      <w:r w:rsidR="00ED2821" w:rsidRPr="00ED2821">
        <w:t xml:space="preserve">applicant or employee with a copy of </w:t>
      </w:r>
      <w:r w:rsidR="0049438E">
        <w:t xml:space="preserve">any </w:t>
      </w:r>
      <w:r w:rsidR="0049438E" w:rsidRPr="00ED2821">
        <w:t>criminal background check</w:t>
      </w:r>
      <w:r w:rsidR="0049438E">
        <w:t xml:space="preserve"> conduct</w:t>
      </w:r>
      <w:r w:rsidR="00FD04CE">
        <w:t>ed</w:t>
      </w:r>
      <w:r w:rsidR="0049438E" w:rsidRPr="00ED2821">
        <w:t xml:space="preserve">, </w:t>
      </w:r>
      <w:r w:rsidR="00ED2821" w:rsidRPr="00ED2821">
        <w:t>their written analysis</w:t>
      </w:r>
      <w:r w:rsidR="0049438E">
        <w:t xml:space="preserve"> of its applicability to the job</w:t>
      </w:r>
      <w:r w:rsidR="00ED2821" w:rsidRPr="00ED2821">
        <w:t xml:space="preserve">, and an opportunity </w:t>
      </w:r>
      <w:r w:rsidR="00F9521E">
        <w:t xml:space="preserve">for an applicant </w:t>
      </w:r>
      <w:r w:rsidR="00ED2821" w:rsidRPr="00ED2821">
        <w:t>to respond</w:t>
      </w:r>
      <w:r w:rsidR="00F9521E">
        <w:t xml:space="preserve"> with relevant context or any corrections</w:t>
      </w:r>
      <w:r w:rsidR="00ED2821" w:rsidRPr="00ED2821">
        <w:t>.</w:t>
      </w:r>
      <w:r w:rsidR="00F9521E">
        <w:rPr>
          <w:rStyle w:val="FootnoteReference"/>
        </w:rPr>
        <w:footnoteReference w:id="32"/>
      </w:r>
      <w:r w:rsidR="3326BC67">
        <w:t xml:space="preserve"> </w:t>
      </w:r>
    </w:p>
    <w:p w14:paraId="008087F7" w14:textId="667576F7" w:rsidR="00320356" w:rsidRDefault="3B5F26BF" w:rsidP="00455AB1">
      <w:pPr>
        <w:spacing w:line="480" w:lineRule="auto"/>
        <w:ind w:firstLine="720"/>
        <w:jc w:val="both"/>
      </w:pPr>
      <w:r>
        <w:t xml:space="preserve">Local Law </w:t>
      </w:r>
      <w:r w:rsidR="0B3A353F">
        <w:t>24 of 2024</w:t>
      </w:r>
      <w:r w:rsidR="2C6D2DE6">
        <w:t>, which took effect in January 2025,</w:t>
      </w:r>
      <w:r w:rsidR="00F8149A">
        <w:t xml:space="preserve"> </w:t>
      </w:r>
      <w:r w:rsidR="378B6053">
        <w:t>creat</w:t>
      </w:r>
      <w:r w:rsidR="1B6DFC39">
        <w:t>ed</w:t>
      </w:r>
      <w:r w:rsidR="378B6053">
        <w:t xml:space="preserve"> similar </w:t>
      </w:r>
      <w:r w:rsidR="00A40FA8">
        <w:t>“</w:t>
      </w:r>
      <w:r w:rsidR="00FD04CE">
        <w:t>f</w:t>
      </w:r>
      <w:r w:rsidR="378B6053">
        <w:t xml:space="preserve">air </w:t>
      </w:r>
      <w:r w:rsidR="00FD04CE">
        <w:t>c</w:t>
      </w:r>
      <w:r w:rsidR="378B6053">
        <w:t>hance</w:t>
      </w:r>
      <w:r w:rsidR="00A40FA8">
        <w:t>”</w:t>
      </w:r>
      <w:r w:rsidR="378B6053">
        <w:t xml:space="preserve"> protections for </w:t>
      </w:r>
      <w:r w:rsidR="00F8149A">
        <w:t>housing</w:t>
      </w:r>
      <w:r w:rsidR="006084E2">
        <w:t xml:space="preserve">. </w:t>
      </w:r>
      <w:r w:rsidR="00A40FA8">
        <w:t>This</w:t>
      </w:r>
      <w:r w:rsidR="09101D96">
        <w:t xml:space="preserve"> law</w:t>
      </w:r>
      <w:r w:rsidR="00F8149A">
        <w:t xml:space="preserve"> prohibit</w:t>
      </w:r>
      <w:r w:rsidR="5222BD58">
        <w:t>s</w:t>
      </w:r>
      <w:r w:rsidR="00F8149A">
        <w:t xml:space="preserve"> landlords, real estate brokers or their agents </w:t>
      </w:r>
      <w:r w:rsidR="004F1AC1">
        <w:t xml:space="preserve">for most </w:t>
      </w:r>
      <w:r w:rsidR="00C21906">
        <w:t xml:space="preserve">types of </w:t>
      </w:r>
      <w:r w:rsidR="004F1AC1">
        <w:t xml:space="preserve">housing </w:t>
      </w:r>
      <w:r w:rsidR="00C21906">
        <w:t xml:space="preserve">in NYC </w:t>
      </w:r>
      <w:r w:rsidR="00455AB1">
        <w:t xml:space="preserve">from </w:t>
      </w:r>
      <w:r w:rsidR="004F1AC1">
        <w:t>discriminat</w:t>
      </w:r>
      <w:r w:rsidR="00455AB1">
        <w:t>ing</w:t>
      </w:r>
      <w:r w:rsidR="004F1AC1">
        <w:t xml:space="preserve"> against renters and buyers because of arrest records, convictions, or other criminal history.</w:t>
      </w:r>
      <w:r w:rsidR="00455AB1">
        <w:t xml:space="preserve"> </w:t>
      </w:r>
      <w:r w:rsidR="001D383B">
        <w:t>T</w:t>
      </w:r>
      <w:r w:rsidR="00455AB1">
        <w:t xml:space="preserve">he law </w:t>
      </w:r>
      <w:r w:rsidR="001D383B">
        <w:t xml:space="preserve">requires a similar </w:t>
      </w:r>
      <w:r w:rsidR="001E267A">
        <w:t xml:space="preserve">evaluation </w:t>
      </w:r>
      <w:r w:rsidR="001D383B">
        <w:t xml:space="preserve">process </w:t>
      </w:r>
      <w:r w:rsidR="001E267A">
        <w:t xml:space="preserve">to the job applicant process </w:t>
      </w:r>
      <w:r w:rsidR="001D383B">
        <w:t xml:space="preserve">required under </w:t>
      </w:r>
      <w:r w:rsidR="00A40FA8">
        <w:t xml:space="preserve">the </w:t>
      </w:r>
      <w:r w:rsidR="00FD04CE">
        <w:t>FCA</w:t>
      </w:r>
      <w:r w:rsidR="009459B5">
        <w:t>: it</w:t>
      </w:r>
      <w:r w:rsidR="001D383B">
        <w:t xml:space="preserve"> </w:t>
      </w:r>
      <w:r w:rsidR="004F1AC1">
        <w:t xml:space="preserve">limits </w:t>
      </w:r>
      <w:r w:rsidR="00342758">
        <w:t xml:space="preserve">when, how, and </w:t>
      </w:r>
      <w:r w:rsidR="004F1AC1">
        <w:t xml:space="preserve">what types of </w:t>
      </w:r>
      <w:r w:rsidR="00342758">
        <w:t xml:space="preserve">criminal history </w:t>
      </w:r>
      <w:r w:rsidR="004F1AC1">
        <w:t xml:space="preserve">can </w:t>
      </w:r>
      <w:r w:rsidR="00342758">
        <w:t xml:space="preserve">be </w:t>
      </w:r>
      <w:r w:rsidR="004F1AC1">
        <w:t>consider</w:t>
      </w:r>
      <w:r w:rsidR="00342758">
        <w:t>ed</w:t>
      </w:r>
      <w:r w:rsidR="00156716">
        <w:t xml:space="preserve"> when evaluating a housing application, </w:t>
      </w:r>
      <w:r w:rsidR="009459B5">
        <w:t xml:space="preserve">and requires that applicants be provided </w:t>
      </w:r>
      <w:r w:rsidR="009459B5" w:rsidRPr="00ED2821">
        <w:t xml:space="preserve">with a copy of </w:t>
      </w:r>
      <w:r w:rsidR="009459B5">
        <w:t xml:space="preserve">any </w:t>
      </w:r>
      <w:r w:rsidR="009459B5" w:rsidRPr="00ED2821">
        <w:t>criminal background check</w:t>
      </w:r>
      <w:r w:rsidR="009459B5">
        <w:t xml:space="preserve"> conducted</w:t>
      </w:r>
      <w:r w:rsidR="009459B5" w:rsidRPr="00ED2821">
        <w:t>, written analysis</w:t>
      </w:r>
      <w:r w:rsidR="009459B5">
        <w:t xml:space="preserve"> of its applicability to the</w:t>
      </w:r>
      <w:r w:rsidR="00EA3A4C">
        <w:t xml:space="preserve"> housing </w:t>
      </w:r>
      <w:r w:rsidR="00772E74">
        <w:t>opportunity</w:t>
      </w:r>
      <w:r w:rsidR="00EA3A4C">
        <w:t>, and an opportunity to respond</w:t>
      </w:r>
      <w:r w:rsidR="004F1AC1">
        <w:t>.</w:t>
      </w:r>
      <w:r w:rsidR="00E87C47">
        <w:rPr>
          <w:rStyle w:val="FootnoteReference"/>
        </w:rPr>
        <w:footnoteReference w:id="33"/>
      </w:r>
      <w:r w:rsidR="00324B8E">
        <w:t xml:space="preserve"> </w:t>
      </w:r>
      <w:r w:rsidR="00F8149A">
        <w:t xml:space="preserve"> </w:t>
      </w:r>
    </w:p>
    <w:p w14:paraId="511B8FF5" w14:textId="4361DE43" w:rsidR="00901BA3" w:rsidRDefault="00901BA3" w:rsidP="00C805E4">
      <w:pPr>
        <w:spacing w:line="480" w:lineRule="auto"/>
        <w:ind w:firstLine="720"/>
        <w:jc w:val="both"/>
      </w:pPr>
      <w:r>
        <w:t xml:space="preserve">New York State also </w:t>
      </w:r>
      <w:r w:rsidR="00770B14">
        <w:t xml:space="preserve">provides for </w:t>
      </w:r>
      <w:r>
        <w:t xml:space="preserve">a </w:t>
      </w:r>
      <w:r w:rsidR="009B53CC">
        <w:t xml:space="preserve">fair chance employment </w:t>
      </w:r>
      <w:r w:rsidR="00770B14">
        <w:t>process</w:t>
      </w:r>
      <w:r w:rsidR="004B313D">
        <w:t xml:space="preserve"> under </w:t>
      </w:r>
      <w:r w:rsidR="002C09BA">
        <w:t>Article 23-A</w:t>
      </w:r>
      <w:r w:rsidR="00667CE0">
        <w:t xml:space="preserve"> of the </w:t>
      </w:r>
      <w:r w:rsidR="005C199F">
        <w:t xml:space="preserve">Correction Law, and protects against discrimination </w:t>
      </w:r>
      <w:r w:rsidR="004A20C4">
        <w:t xml:space="preserve">in employment and housing </w:t>
      </w:r>
      <w:r w:rsidR="005C199F">
        <w:t xml:space="preserve">on the basis of </w:t>
      </w:r>
      <w:r w:rsidR="00B56B0B" w:rsidRPr="00B56B0B">
        <w:t>prior arrest or conviction record</w:t>
      </w:r>
      <w:r w:rsidR="00007D94">
        <w:t xml:space="preserve"> in the</w:t>
      </w:r>
      <w:r w:rsidR="005C199F">
        <w:t xml:space="preserve"> </w:t>
      </w:r>
      <w:r w:rsidR="00667CE0">
        <w:t>New York State Human Rights Law</w:t>
      </w:r>
      <w:r w:rsidR="007C377D">
        <w:t>.</w:t>
      </w:r>
      <w:r w:rsidR="00667CE0">
        <w:rPr>
          <w:rStyle w:val="FootnoteReference"/>
        </w:rPr>
        <w:footnoteReference w:id="34"/>
      </w:r>
      <w:r w:rsidR="00206B26">
        <w:t xml:space="preserve"> </w:t>
      </w:r>
      <w:r w:rsidR="007C377D">
        <w:t xml:space="preserve">However, </w:t>
      </w:r>
      <w:r w:rsidR="00284512">
        <w:t xml:space="preserve">the City’s </w:t>
      </w:r>
      <w:r w:rsidR="00FD04CE">
        <w:t xml:space="preserve">FCA </w:t>
      </w:r>
      <w:r w:rsidR="00345EF6">
        <w:t xml:space="preserve">imposes </w:t>
      </w:r>
      <w:r w:rsidR="008E013D">
        <w:t>stronger</w:t>
      </w:r>
      <w:r w:rsidR="00B43C63">
        <w:t xml:space="preserve"> procedural </w:t>
      </w:r>
      <w:r w:rsidR="00237040">
        <w:t>protections</w:t>
      </w:r>
      <w:r w:rsidR="00A26603">
        <w:t xml:space="preserve"> that improve </w:t>
      </w:r>
      <w:r w:rsidR="00CD3910">
        <w:t xml:space="preserve">transparency for applicants as </w:t>
      </w:r>
      <w:r w:rsidR="00CD3910">
        <w:lastRenderedPageBreak/>
        <w:t xml:space="preserve">well as </w:t>
      </w:r>
      <w:r w:rsidR="00A26603">
        <w:t>enforceability.</w:t>
      </w:r>
      <w:r w:rsidR="00CD3910">
        <w:rPr>
          <w:rStyle w:val="FootnoteReference"/>
        </w:rPr>
        <w:footnoteReference w:id="35"/>
      </w:r>
      <w:r w:rsidR="00AA5E37">
        <w:t xml:space="preserve"> </w:t>
      </w:r>
      <w:r w:rsidR="006C56B0">
        <w:t xml:space="preserve">And, although federal protections in employment and housing </w:t>
      </w:r>
      <w:r w:rsidR="00E84BD0">
        <w:t>do exist,</w:t>
      </w:r>
      <w:r w:rsidR="00E84BD0">
        <w:rPr>
          <w:rStyle w:val="FootnoteReference"/>
        </w:rPr>
        <w:footnoteReference w:id="36"/>
      </w:r>
      <w:r w:rsidR="00E84BD0">
        <w:t xml:space="preserve"> </w:t>
      </w:r>
      <w:r w:rsidR="00AB0AEB">
        <w:t>the current Trump Administration has effectively ceased enforcement</w:t>
      </w:r>
      <w:r w:rsidR="00BE45F1">
        <w:t xml:space="preserve">, repealed the </w:t>
      </w:r>
      <w:r w:rsidR="00D16A78">
        <w:t xml:space="preserve">federal </w:t>
      </w:r>
      <w:r w:rsidR="00BE45F1">
        <w:t>rules</w:t>
      </w:r>
      <w:r w:rsidR="00D16A78">
        <w:t xml:space="preserve"> guiding the implementation of the law, and cut funding for </w:t>
      </w:r>
      <w:r w:rsidR="000C3AB5">
        <w:t>non-profits that enforce anti-discrimination laws</w:t>
      </w:r>
      <w:r w:rsidR="00AB0AEB">
        <w:t>.</w:t>
      </w:r>
      <w:r w:rsidR="00AB0AEB">
        <w:rPr>
          <w:rStyle w:val="FootnoteReference"/>
        </w:rPr>
        <w:footnoteReference w:id="37"/>
      </w:r>
      <w:r w:rsidR="00B47318">
        <w:t xml:space="preserve"> </w:t>
      </w:r>
      <w:r w:rsidR="00CB7318">
        <w:t>The dismantling of federal protections</w:t>
      </w:r>
      <w:r w:rsidR="006D5C18">
        <w:t xml:space="preserve"> </w:t>
      </w:r>
      <w:r w:rsidR="00EC61E0">
        <w:t xml:space="preserve">and </w:t>
      </w:r>
      <w:r w:rsidR="00772E74">
        <w:t xml:space="preserve">law enforcement </w:t>
      </w:r>
      <w:r w:rsidR="00EC61E0">
        <w:t xml:space="preserve">systems </w:t>
      </w:r>
      <w:r w:rsidR="00FD04CE">
        <w:t xml:space="preserve">increase </w:t>
      </w:r>
      <w:r w:rsidR="00EC61E0">
        <w:t xml:space="preserve">pressure on local </w:t>
      </w:r>
      <w:r w:rsidR="00CD3E1C">
        <w:t>government enforcement mechanisms</w:t>
      </w:r>
      <w:r w:rsidR="001864FA">
        <w:t>; this is true</w:t>
      </w:r>
      <w:r w:rsidR="0008732A">
        <w:t xml:space="preserve"> for </w:t>
      </w:r>
      <w:r w:rsidR="001864FA">
        <w:t xml:space="preserve">civil and </w:t>
      </w:r>
      <w:r w:rsidR="0008732A">
        <w:t>human rights protections</w:t>
      </w:r>
      <w:r w:rsidR="0006366C">
        <w:t xml:space="preserve"> </w:t>
      </w:r>
      <w:r w:rsidR="00FD04CE">
        <w:t xml:space="preserve">even more so </w:t>
      </w:r>
      <w:r w:rsidR="00682933">
        <w:t xml:space="preserve">than </w:t>
      </w:r>
      <w:r w:rsidR="00FD04CE">
        <w:t xml:space="preserve">in many </w:t>
      </w:r>
      <w:r w:rsidR="00682933">
        <w:t xml:space="preserve">other </w:t>
      </w:r>
      <w:r w:rsidR="00FD04CE">
        <w:t>regulatory areas,</w:t>
      </w:r>
      <w:r w:rsidR="00092D77">
        <w:t xml:space="preserve"> because </w:t>
      </w:r>
      <w:r w:rsidR="001864FA">
        <w:t xml:space="preserve">such </w:t>
      </w:r>
      <w:r w:rsidR="00092D77">
        <w:t xml:space="preserve">laws </w:t>
      </w:r>
      <w:r w:rsidR="001864FA">
        <w:t xml:space="preserve">typically </w:t>
      </w:r>
      <w:r w:rsidR="00FB27C3">
        <w:t xml:space="preserve">depend </w:t>
      </w:r>
      <w:r w:rsidR="00126406">
        <w:t>heavily</w:t>
      </w:r>
      <w:r w:rsidR="001864FA">
        <w:t xml:space="preserve"> </w:t>
      </w:r>
      <w:r w:rsidR="00126406">
        <w:t xml:space="preserve">on </w:t>
      </w:r>
      <w:r w:rsidR="003B1B6B">
        <w:t xml:space="preserve">government-led enforcement </w:t>
      </w:r>
      <w:r w:rsidR="00AD2AA2">
        <w:t>for meaningful implementation</w:t>
      </w:r>
      <w:r w:rsidR="003B1B6B">
        <w:t>.</w:t>
      </w:r>
      <w:r w:rsidR="00AD2AA2">
        <w:rPr>
          <w:rStyle w:val="FootnoteReference"/>
        </w:rPr>
        <w:footnoteReference w:id="38"/>
      </w:r>
      <w:r w:rsidR="00C805E4">
        <w:t xml:space="preserve"> Indeed, evidence from multiple jurisdictions </w:t>
      </w:r>
      <w:r w:rsidR="00FD04CE">
        <w:t xml:space="preserve">bears out </w:t>
      </w:r>
      <w:r w:rsidR="00C805E4">
        <w:t xml:space="preserve">that </w:t>
      </w:r>
      <w:r w:rsidR="00FD04CE">
        <w:t xml:space="preserve">the effectiveness of </w:t>
      </w:r>
      <w:r w:rsidR="00C805E4">
        <w:t xml:space="preserve">fair chance laws and policies </w:t>
      </w:r>
      <w:r w:rsidR="00FD04CE">
        <w:t xml:space="preserve">relies primarily on </w:t>
      </w:r>
      <w:r w:rsidR="00C805E4">
        <w:t>consistent implementation and monitoring by government agencies.</w:t>
      </w:r>
      <w:r w:rsidR="00C805E4">
        <w:rPr>
          <w:rStyle w:val="FootnoteReference"/>
        </w:rPr>
        <w:footnoteReference w:id="39"/>
      </w:r>
      <w:r w:rsidR="00C805E4">
        <w:t xml:space="preserve"> </w:t>
      </w:r>
    </w:p>
    <w:p w14:paraId="0B705F8C" w14:textId="66AAF1C9" w:rsidR="00F8149A" w:rsidRDefault="54C453FE" w:rsidP="3C5767F7">
      <w:pPr>
        <w:pStyle w:val="ListParagraph"/>
        <w:numPr>
          <w:ilvl w:val="1"/>
          <w:numId w:val="2"/>
        </w:numPr>
        <w:spacing w:line="480" w:lineRule="auto"/>
        <w:jc w:val="both"/>
        <w:rPr>
          <w:b/>
          <w:bCs/>
        </w:rPr>
      </w:pPr>
      <w:r w:rsidRPr="3C5767F7">
        <w:rPr>
          <w:b/>
          <w:bCs/>
          <w:i/>
          <w:iCs/>
        </w:rPr>
        <w:t xml:space="preserve">Fair Chance </w:t>
      </w:r>
      <w:r w:rsidR="002A328F">
        <w:rPr>
          <w:b/>
          <w:bCs/>
          <w:i/>
          <w:iCs/>
        </w:rPr>
        <w:t xml:space="preserve">best practices and evidence from </w:t>
      </w:r>
      <w:r w:rsidRPr="3C5767F7">
        <w:rPr>
          <w:b/>
          <w:bCs/>
          <w:i/>
          <w:iCs/>
        </w:rPr>
        <w:t xml:space="preserve">other jurisdictions </w:t>
      </w:r>
    </w:p>
    <w:p w14:paraId="5369EF29" w14:textId="1C9885D6" w:rsidR="00F8149A" w:rsidRDefault="4BBFC1D8" w:rsidP="002C2598">
      <w:pPr>
        <w:spacing w:line="480" w:lineRule="auto"/>
        <w:ind w:firstLine="720"/>
        <w:jc w:val="both"/>
      </w:pPr>
      <w:r w:rsidRPr="006E71B8">
        <w:t xml:space="preserve">A number of jurisdictions around the country have </w:t>
      </w:r>
      <w:r w:rsidR="00FD04CE">
        <w:t xml:space="preserve">also </w:t>
      </w:r>
      <w:r w:rsidRPr="006E71B8">
        <w:t xml:space="preserve">enacted </w:t>
      </w:r>
      <w:r w:rsidR="00FD04CE" w:rsidRPr="006E71B8">
        <w:t xml:space="preserve">fair chance </w:t>
      </w:r>
      <w:r w:rsidR="57743EB5" w:rsidRPr="006E71B8">
        <w:t>laws in the areas of employment and housing</w:t>
      </w:r>
      <w:r w:rsidR="00FD04CE">
        <w:t>, providing a robust evidence base for best practices in implementation</w:t>
      </w:r>
      <w:r w:rsidR="57743EB5" w:rsidRPr="006E71B8">
        <w:t>.</w:t>
      </w:r>
      <w:r w:rsidR="5B483FF7" w:rsidRPr="006E71B8">
        <w:t xml:space="preserve"> </w:t>
      </w:r>
      <w:r w:rsidR="000E321B" w:rsidRPr="006E71B8">
        <w:t xml:space="preserve">As of </w:t>
      </w:r>
      <w:r w:rsidR="00A9622A">
        <w:t>202</w:t>
      </w:r>
      <w:r w:rsidR="007A78BA">
        <w:t>3</w:t>
      </w:r>
      <w:r w:rsidR="000E321B" w:rsidRPr="006E71B8">
        <w:t xml:space="preserve">, </w:t>
      </w:r>
      <w:r w:rsidR="00B83E7D" w:rsidRPr="006E71B8">
        <w:t xml:space="preserve">37 </w:t>
      </w:r>
      <w:r w:rsidR="0053564C" w:rsidRPr="006E71B8">
        <w:t xml:space="preserve">states </w:t>
      </w:r>
      <w:r w:rsidR="000E321B" w:rsidRPr="006E71B8">
        <w:t xml:space="preserve">had </w:t>
      </w:r>
      <w:r w:rsidR="0053564C" w:rsidRPr="006E71B8">
        <w:t xml:space="preserve">enacted </w:t>
      </w:r>
      <w:r w:rsidR="001864FA" w:rsidRPr="006E71B8">
        <w:t xml:space="preserve">fair chance employment </w:t>
      </w:r>
      <w:r w:rsidR="0053564C" w:rsidRPr="006E71B8">
        <w:t xml:space="preserve">laws for the public </w:t>
      </w:r>
      <w:r w:rsidR="0053564C" w:rsidRPr="006E71B8">
        <w:lastRenderedPageBreak/>
        <w:t>sector</w:t>
      </w:r>
      <w:r w:rsidR="00B83E7D" w:rsidRPr="006E71B8">
        <w:t xml:space="preserve">, with 15 </w:t>
      </w:r>
      <w:r w:rsidR="00FD04CE">
        <w:t xml:space="preserve">also </w:t>
      </w:r>
      <w:r w:rsidR="00B83E7D" w:rsidRPr="006E71B8">
        <w:t>extending protections to the private sector.</w:t>
      </w:r>
      <w:r w:rsidR="00B83E7D" w:rsidRPr="006E71B8">
        <w:rPr>
          <w:rStyle w:val="FootnoteReference"/>
        </w:rPr>
        <w:footnoteReference w:id="40"/>
      </w:r>
      <w:r w:rsidR="0053564C" w:rsidRPr="006E71B8">
        <w:t xml:space="preserve"> </w:t>
      </w:r>
      <w:r w:rsidR="00FD04CE">
        <w:t>A</w:t>
      </w:r>
      <w:r w:rsidR="00BC729A">
        <w:t xml:space="preserve">t least </w:t>
      </w:r>
      <w:r w:rsidR="002A68AF" w:rsidRPr="006E71B8">
        <w:t xml:space="preserve">22 </w:t>
      </w:r>
      <w:r w:rsidR="002C2598" w:rsidRPr="006E71B8">
        <w:t>cities including Chicago, the District of Colombia, Los Angelos, Philadelphia, and Seattle have</w:t>
      </w:r>
      <w:r w:rsidR="00BC729A">
        <w:t xml:space="preserve"> also</w:t>
      </w:r>
      <w:r w:rsidR="002C2598" w:rsidRPr="006E71B8">
        <w:t xml:space="preserve"> adopted </w:t>
      </w:r>
      <w:r w:rsidR="002A68AF" w:rsidRPr="006E71B8">
        <w:t xml:space="preserve">fair chance </w:t>
      </w:r>
      <w:r w:rsidR="002C2598" w:rsidRPr="006E71B8">
        <w:t>laws and policies.</w:t>
      </w:r>
      <w:r w:rsidR="002C2598" w:rsidRPr="006E71B8">
        <w:rPr>
          <w:rStyle w:val="FootnoteReference"/>
        </w:rPr>
        <w:footnoteReference w:id="41"/>
      </w:r>
      <w:r w:rsidR="002C2598" w:rsidRPr="006E71B8">
        <w:t xml:space="preserve"> </w:t>
      </w:r>
      <w:r w:rsidR="005B2F47" w:rsidRPr="006E71B8">
        <w:t>F</w:t>
      </w:r>
      <w:r w:rsidR="002C2598" w:rsidRPr="006E71B8">
        <w:t xml:space="preserve">air chance laws across jurisdictions </w:t>
      </w:r>
      <w:r w:rsidR="00BC729A">
        <w:t xml:space="preserve">may </w:t>
      </w:r>
      <w:r w:rsidR="002C2598" w:rsidRPr="006E71B8">
        <w:t>vary in terms of when an employer is allowed to ask about an applicant’s criminal history</w:t>
      </w:r>
      <w:r w:rsidR="002C2598" w:rsidRPr="006E71B8">
        <w:rPr>
          <w:rStyle w:val="FootnoteReference"/>
        </w:rPr>
        <w:footnoteReference w:id="42"/>
      </w:r>
      <w:r w:rsidR="002C2598" w:rsidRPr="006E71B8">
        <w:t xml:space="preserve"> </w:t>
      </w:r>
      <w:r w:rsidR="00BC729A">
        <w:t xml:space="preserve">and the size of employers </w:t>
      </w:r>
      <w:r w:rsidR="004A6455">
        <w:t>subject to fair chance requirements.</w:t>
      </w:r>
      <w:r w:rsidR="004A6455">
        <w:rPr>
          <w:rStyle w:val="FootnoteReference"/>
        </w:rPr>
        <w:footnoteReference w:id="43"/>
      </w:r>
      <w:r w:rsidR="004A6455">
        <w:t xml:space="preserve"> </w:t>
      </w:r>
      <w:r w:rsidR="00067B5E">
        <w:t xml:space="preserve">Evidence from multiple jurisdictions shows that fair chance </w:t>
      </w:r>
      <w:r w:rsidR="00067B5E" w:rsidRPr="00561472">
        <w:t>employment</w:t>
      </w:r>
      <w:r w:rsidR="00067B5E">
        <w:t xml:space="preserve"> laws are most effective when they require individualized assessments and delay background checks until after a conditional offer has been made to an applicant for a job.</w:t>
      </w:r>
      <w:r w:rsidR="00067B5E">
        <w:rPr>
          <w:rStyle w:val="FootnoteReference"/>
        </w:rPr>
        <w:footnoteReference w:id="44"/>
      </w:r>
      <w:r w:rsidR="00067B5E">
        <w:t xml:space="preserve"> </w:t>
      </w:r>
      <w:r w:rsidR="00852864" w:rsidRPr="006E71B8">
        <w:t>New York City</w:t>
      </w:r>
      <w:r w:rsidR="00067B5E">
        <w:t>’s laws,</w:t>
      </w:r>
      <w:r w:rsidR="00067B5E" w:rsidRPr="00067B5E">
        <w:t xml:space="preserve"> </w:t>
      </w:r>
      <w:r w:rsidR="00067B5E">
        <w:t>as in many jurisdictions, align with these recommended frameworks.</w:t>
      </w:r>
      <w:r w:rsidR="002C2598" w:rsidRPr="006E71B8">
        <w:rPr>
          <w:rStyle w:val="FootnoteReference"/>
        </w:rPr>
        <w:footnoteReference w:id="45"/>
      </w:r>
      <w:r w:rsidR="00852864" w:rsidRPr="006E71B8">
        <w:t xml:space="preserve"> </w:t>
      </w:r>
      <w:r w:rsidR="00067B5E">
        <w:t xml:space="preserve">The City’s protections thus exceed </w:t>
      </w:r>
      <w:r w:rsidR="00852864" w:rsidRPr="006E71B8">
        <w:t>New York State</w:t>
      </w:r>
      <w:r w:rsidR="00A40FA8">
        <w:t>’s</w:t>
      </w:r>
      <w:r w:rsidR="00852864" w:rsidRPr="006E71B8">
        <w:t xml:space="preserve"> </w:t>
      </w:r>
      <w:r w:rsidR="00067B5E">
        <w:t xml:space="preserve">requirements, which </w:t>
      </w:r>
      <w:r w:rsidR="004A6455">
        <w:t>permit</w:t>
      </w:r>
      <w:r w:rsidR="006E71B8" w:rsidRPr="006E71B8">
        <w:t xml:space="preserve"> a background check</w:t>
      </w:r>
      <w:r w:rsidR="004A6455">
        <w:t xml:space="preserve"> earlier in the process and do not require </w:t>
      </w:r>
      <w:r w:rsidR="004E212D">
        <w:t>employers to</w:t>
      </w:r>
      <w:r w:rsidR="00067B5E">
        <w:t xml:space="preserve"> automatically</w:t>
      </w:r>
      <w:r w:rsidR="004E212D">
        <w:t xml:space="preserve"> provide </w:t>
      </w:r>
      <w:r w:rsidR="00DD2A5C">
        <w:t xml:space="preserve">rejected </w:t>
      </w:r>
      <w:r w:rsidR="004E212D">
        <w:t xml:space="preserve">applicants </w:t>
      </w:r>
      <w:r w:rsidR="003C1CAF">
        <w:t xml:space="preserve">with an explanation of why </w:t>
      </w:r>
      <w:r w:rsidR="00067B5E">
        <w:t xml:space="preserve">an adverse </w:t>
      </w:r>
      <w:r w:rsidR="00DD2A5C">
        <w:t>decision was made</w:t>
      </w:r>
      <w:r w:rsidR="00852864">
        <w:t>.</w:t>
      </w:r>
      <w:r w:rsidR="00852864">
        <w:rPr>
          <w:rStyle w:val="FootnoteReference"/>
        </w:rPr>
        <w:footnoteReference w:id="46"/>
      </w:r>
      <w:r w:rsidR="00E812CD">
        <w:t xml:space="preserve"> </w:t>
      </w:r>
    </w:p>
    <w:p w14:paraId="413057B0" w14:textId="53FE0986" w:rsidR="008B3F43" w:rsidRDefault="3A5CD9BD" w:rsidP="3C5767F7">
      <w:pPr>
        <w:spacing w:line="480" w:lineRule="auto"/>
        <w:ind w:firstLine="720"/>
        <w:jc w:val="both"/>
      </w:pPr>
      <w:r>
        <w:t xml:space="preserve">In the area of housing, </w:t>
      </w:r>
      <w:r w:rsidR="7DAEDD12">
        <w:t xml:space="preserve">San Francisco, Oakland, Detroit, the District of Columbia, Seattle, and Cook County, IL have </w:t>
      </w:r>
      <w:r w:rsidR="00067B5E">
        <w:t xml:space="preserve">all </w:t>
      </w:r>
      <w:r w:rsidR="7DAEDD12">
        <w:t xml:space="preserve">enacted </w:t>
      </w:r>
      <w:r w:rsidR="001864FA">
        <w:t xml:space="preserve">fair chance housing </w:t>
      </w:r>
      <w:r w:rsidR="7DAEDD12">
        <w:t>laws.</w:t>
      </w:r>
      <w:r w:rsidR="00F8149A" w:rsidRPr="3C5767F7">
        <w:rPr>
          <w:vertAlign w:val="superscript"/>
        </w:rPr>
        <w:footnoteReference w:id="47"/>
      </w:r>
      <w:r w:rsidR="7DAEDD12">
        <w:t xml:space="preserve"> At the state level, New Jersey</w:t>
      </w:r>
      <w:r w:rsidR="00B17DC8">
        <w:t>’s</w:t>
      </w:r>
      <w:r w:rsidR="7DAEDD12">
        <w:t xml:space="preserve"> </w:t>
      </w:r>
      <w:r w:rsidR="7DAEDD12">
        <w:lastRenderedPageBreak/>
        <w:t>Fair Chance in Housing Act</w:t>
      </w:r>
      <w:r w:rsidR="00A94524">
        <w:t xml:space="preserve"> came into effect in January 2022</w:t>
      </w:r>
      <w:r w:rsidR="7DAEDD12">
        <w:t xml:space="preserve">, and Colorado </w:t>
      </w:r>
      <w:r w:rsidR="00920AA5">
        <w:t xml:space="preserve">has </w:t>
      </w:r>
      <w:r w:rsidR="7DAEDD12">
        <w:t>restrict</w:t>
      </w:r>
      <w:r w:rsidR="00920AA5">
        <w:t>ed</w:t>
      </w:r>
      <w:r w:rsidR="7DAEDD12">
        <w:t xml:space="preserve"> owners from reviewing criminal convictions that are older than five years</w:t>
      </w:r>
      <w:r w:rsidR="008B3F43">
        <w:t xml:space="preserve"> since 2019</w:t>
      </w:r>
      <w:r w:rsidR="7DAEDD12">
        <w:t>.</w:t>
      </w:r>
      <w:r w:rsidR="00F8149A" w:rsidRPr="3C5767F7">
        <w:rPr>
          <w:rStyle w:val="FootnoteReference"/>
        </w:rPr>
        <w:footnoteReference w:id="48"/>
      </w:r>
      <w:r w:rsidR="7DAEDD12">
        <w:t xml:space="preserve"> While there is some variation, these laws generally limit the amount of information that landlords</w:t>
      </w:r>
      <w:r w:rsidR="001864FA">
        <w:t xml:space="preserve"> and sellers</w:t>
      </w:r>
      <w:r w:rsidR="7DAEDD12">
        <w:t xml:space="preserve"> can use when considering an applicant; for example,</w:t>
      </w:r>
      <w:r w:rsidR="05711E34">
        <w:t xml:space="preserve"> </w:t>
      </w:r>
      <w:r w:rsidR="001864FA">
        <w:t xml:space="preserve">a </w:t>
      </w:r>
      <w:r w:rsidR="05711E34">
        <w:t>landlord may be prohibited from examining</w:t>
      </w:r>
      <w:r w:rsidR="7DAEDD12">
        <w:t xml:space="preserve"> criminal history that is irrelevant to a tenancy, is significantly old or outdated, or relates to non-conviction offenses. </w:t>
      </w:r>
      <w:r w:rsidR="21B52C8D">
        <w:t xml:space="preserve">This is intended to allow prospective tenants to be evaluated solely on the background and qualifications that are relevant to their ability to be </w:t>
      </w:r>
      <w:r w:rsidR="6E205468">
        <w:t>reliable</w:t>
      </w:r>
      <w:r w:rsidR="21B52C8D">
        <w:t xml:space="preserve"> tenants.</w:t>
      </w:r>
      <w:r w:rsidR="001B075F">
        <w:rPr>
          <w:rStyle w:val="FootnoteReference"/>
        </w:rPr>
        <w:footnoteReference w:id="49"/>
      </w:r>
      <w:r w:rsidR="009A2083">
        <w:t xml:space="preserve"> </w:t>
      </w:r>
    </w:p>
    <w:p w14:paraId="079A5020" w14:textId="2F20ADBC" w:rsidR="00F8149A" w:rsidRDefault="009A2083" w:rsidP="3C5767F7">
      <w:pPr>
        <w:spacing w:line="480" w:lineRule="auto"/>
        <w:ind w:firstLine="720"/>
        <w:jc w:val="both"/>
      </w:pPr>
      <w:r>
        <w:t xml:space="preserve">While fair chance housing laws are relatively new compared to </w:t>
      </w:r>
      <w:r w:rsidR="0054064A">
        <w:t xml:space="preserve">fair chance employment protections, preliminary evidence </w:t>
      </w:r>
      <w:r w:rsidR="00952535">
        <w:t xml:space="preserve">generally </w:t>
      </w:r>
      <w:r w:rsidR="001864FA">
        <w:t xml:space="preserve">echoes </w:t>
      </w:r>
      <w:r w:rsidR="00952535">
        <w:t>best practice</w:t>
      </w:r>
      <w:r w:rsidR="001864FA">
        <w:t>s</w:t>
      </w:r>
      <w:r w:rsidR="00952535">
        <w:t xml:space="preserve"> for implementing fair chance employment laws</w:t>
      </w:r>
      <w:r w:rsidR="0065400D">
        <w:t xml:space="preserve">. First, </w:t>
      </w:r>
      <w:r w:rsidR="00D52A88">
        <w:t>strong</w:t>
      </w:r>
      <w:r w:rsidR="0065400D">
        <w:t xml:space="preserve"> government monitor</w:t>
      </w:r>
      <w:r w:rsidR="008B3F43">
        <w:t>ing</w:t>
      </w:r>
      <w:r w:rsidR="0065400D">
        <w:t xml:space="preserve"> and</w:t>
      </w:r>
      <w:r w:rsidR="00D52A88">
        <w:t xml:space="preserve"> enforcement </w:t>
      </w:r>
      <w:r w:rsidR="0065400D">
        <w:t xml:space="preserve">efforts are critical to </w:t>
      </w:r>
      <w:r w:rsidR="00C52E2B">
        <w:t xml:space="preserve">making </w:t>
      </w:r>
      <w:r w:rsidR="00FC7D95">
        <w:t>housing protections meaningful</w:t>
      </w:r>
      <w:r w:rsidR="009D39B4">
        <w:t xml:space="preserve">, including </w:t>
      </w:r>
      <w:r w:rsidR="00B511E0">
        <w:t>through proactive monitoring of housing advertisements</w:t>
      </w:r>
      <w:r w:rsidR="00485FDB">
        <w:t>,</w:t>
      </w:r>
      <w:r w:rsidR="002F3878">
        <w:t xml:space="preserve"> </w:t>
      </w:r>
      <w:r w:rsidR="003578F0">
        <w:t xml:space="preserve">testing programs, </w:t>
      </w:r>
      <w:r w:rsidR="00E71C70">
        <w:t>government-initiated litigation</w:t>
      </w:r>
      <w:r w:rsidR="00485FDB">
        <w:t>, and the imposition of meaningful fines and penalties</w:t>
      </w:r>
      <w:r w:rsidR="00E71C70">
        <w:t>.</w:t>
      </w:r>
      <w:r w:rsidR="00485FDB">
        <w:rPr>
          <w:rStyle w:val="FootnoteReference"/>
        </w:rPr>
        <w:footnoteReference w:id="50"/>
      </w:r>
      <w:r w:rsidR="008B3F43">
        <w:t xml:space="preserve"> </w:t>
      </w:r>
      <w:r w:rsidR="00952535">
        <w:t>For example,</w:t>
      </w:r>
      <w:r w:rsidR="008A7978">
        <w:t xml:space="preserve"> within the first 2.5 years of its fair chance housing law coming into force,</w:t>
      </w:r>
      <w:r w:rsidR="00952535">
        <w:t xml:space="preserve"> New Jersey </w:t>
      </w:r>
      <w:r w:rsidR="002F6A11">
        <w:t xml:space="preserve">brought over 200 enforcement actions </w:t>
      </w:r>
      <w:r w:rsidR="001774C6">
        <w:t xml:space="preserve">for </w:t>
      </w:r>
      <w:r w:rsidR="008A7978">
        <w:t>illegal housing advertisements alone</w:t>
      </w:r>
      <w:r w:rsidR="00793D98">
        <w:t>, and is working to scale up paired testing efforts</w:t>
      </w:r>
      <w:r w:rsidR="00184AB4">
        <w:t>.</w:t>
      </w:r>
      <w:r w:rsidR="00184AB4">
        <w:rPr>
          <w:rStyle w:val="FootnoteReference"/>
        </w:rPr>
        <w:footnoteReference w:id="51"/>
      </w:r>
      <w:r w:rsidR="00D14691">
        <w:t xml:space="preserve"> </w:t>
      </w:r>
      <w:r w:rsidR="00EF6337">
        <w:t>Secondly</w:t>
      </w:r>
      <w:r w:rsidR="00D14691">
        <w:t xml:space="preserve">, </w:t>
      </w:r>
      <w:r w:rsidR="004D4C90">
        <w:t xml:space="preserve">experiences in </w:t>
      </w:r>
      <w:r w:rsidR="004D4C90">
        <w:lastRenderedPageBreak/>
        <w:t xml:space="preserve">other localities and states suggest that, </w:t>
      </w:r>
      <w:r w:rsidR="00D14691">
        <w:t xml:space="preserve">in order to prevent inadvertent violations, </w:t>
      </w:r>
      <w:r w:rsidR="00650936">
        <w:t>public outreach and engagement are key</w:t>
      </w:r>
      <w:r w:rsidR="009873F1">
        <w:t xml:space="preserve">, with the dual purposes of </w:t>
      </w:r>
      <w:r w:rsidR="00650936">
        <w:t>inform</w:t>
      </w:r>
      <w:r w:rsidR="009873F1">
        <w:t>ing all</w:t>
      </w:r>
      <w:r w:rsidR="00650936">
        <w:t xml:space="preserve"> stakeholders about the law’s requirements and </w:t>
      </w:r>
      <w:r w:rsidR="008966B3">
        <w:t>chang</w:t>
      </w:r>
      <w:r w:rsidR="009873F1">
        <w:t>ing</w:t>
      </w:r>
      <w:r w:rsidR="008966B3">
        <w:t xml:space="preserve"> the public narrative around </w:t>
      </w:r>
      <w:r w:rsidR="002B3957">
        <w:t>housing, public safety, and recidivism.</w:t>
      </w:r>
      <w:r w:rsidR="002B3957">
        <w:rPr>
          <w:rStyle w:val="FootnoteReference"/>
        </w:rPr>
        <w:footnoteReference w:id="52"/>
      </w:r>
      <w:r w:rsidR="00255288">
        <w:t xml:space="preserve"> </w:t>
      </w:r>
      <w:r w:rsidR="005719AA">
        <w:t>And thirdly, t</w:t>
      </w:r>
      <w:r w:rsidR="00255288">
        <w:t xml:space="preserve">o support and </w:t>
      </w:r>
      <w:r w:rsidR="002E4898">
        <w:t xml:space="preserve">expand </w:t>
      </w:r>
      <w:r w:rsidR="00DF44DE">
        <w:t xml:space="preserve">the impact of </w:t>
      </w:r>
      <w:r w:rsidR="002E4898">
        <w:t xml:space="preserve">the </w:t>
      </w:r>
      <w:r w:rsidR="0014379B">
        <w:t xml:space="preserve">first two strategies, </w:t>
      </w:r>
      <w:r w:rsidR="009873F1">
        <w:t xml:space="preserve">government agencies should </w:t>
      </w:r>
      <w:r w:rsidR="001F70DF">
        <w:t>engag</w:t>
      </w:r>
      <w:r w:rsidR="00AC2728">
        <w:t>e</w:t>
      </w:r>
      <w:r w:rsidR="001F70DF">
        <w:t xml:space="preserve"> </w:t>
      </w:r>
      <w:r w:rsidR="00DF44DE">
        <w:t xml:space="preserve">closely </w:t>
      </w:r>
      <w:r w:rsidR="0014379B">
        <w:t xml:space="preserve">with community </w:t>
      </w:r>
      <w:r w:rsidR="00DF44DE">
        <w:t>partners</w:t>
      </w:r>
      <w:r w:rsidR="00F41683">
        <w:t>.</w:t>
      </w:r>
      <w:r w:rsidR="008D60B9">
        <w:rPr>
          <w:rStyle w:val="FootnoteReference"/>
        </w:rPr>
        <w:footnoteReference w:id="53"/>
      </w:r>
      <w:r w:rsidR="00E84725">
        <w:t xml:space="preserve"> </w:t>
      </w:r>
      <w:r w:rsidR="001864FA">
        <w:t>E</w:t>
      </w:r>
      <w:r w:rsidR="005E4882">
        <w:t xml:space="preserve">xperts </w:t>
      </w:r>
      <w:r w:rsidR="009873F1">
        <w:t xml:space="preserve">emphasize </w:t>
      </w:r>
      <w:r w:rsidR="005E4882">
        <w:t xml:space="preserve">the </w:t>
      </w:r>
      <w:r w:rsidR="004D27A1">
        <w:t xml:space="preserve">urgent and time-sensitive nature of housing protections, especially in </w:t>
      </w:r>
      <w:r w:rsidR="00950FD4">
        <w:t xml:space="preserve">markets where housing is scarce, since </w:t>
      </w:r>
      <w:r w:rsidR="007514E3">
        <w:t>a</w:t>
      </w:r>
      <w:r w:rsidR="009873F1">
        <w:t xml:space="preserve"> lease or sale may be immediately awarded </w:t>
      </w:r>
      <w:r w:rsidR="0029253F">
        <w:t>to another applicant</w:t>
      </w:r>
      <w:r w:rsidR="0066272A">
        <w:t>.</w:t>
      </w:r>
      <w:r w:rsidR="0066272A">
        <w:rPr>
          <w:rStyle w:val="FootnoteReference"/>
        </w:rPr>
        <w:footnoteReference w:id="54"/>
      </w:r>
      <w:r w:rsidR="0029253F">
        <w:t xml:space="preserve"> </w:t>
      </w:r>
      <w:r w:rsidR="00106E9E">
        <w:t xml:space="preserve">In some cases, </w:t>
      </w:r>
      <w:r w:rsidR="00C05151">
        <w:t xml:space="preserve">quick action to send </w:t>
      </w:r>
      <w:r w:rsidR="00757C5C">
        <w:t xml:space="preserve">initial letters alleging violations could be enough to </w:t>
      </w:r>
      <w:r w:rsidR="00350BE7">
        <w:t xml:space="preserve">prompt a landlord to reverse a discriminatory denial, or to </w:t>
      </w:r>
      <w:r w:rsidR="00FA6991">
        <w:t>offer monetary compensation.</w:t>
      </w:r>
      <w:r w:rsidR="00FA6991">
        <w:rPr>
          <w:rStyle w:val="FootnoteReference"/>
        </w:rPr>
        <w:footnoteReference w:id="55"/>
      </w:r>
      <w:r w:rsidR="00106E9E">
        <w:t xml:space="preserve"> </w:t>
      </w:r>
      <w:r w:rsidR="0066272A">
        <w:t xml:space="preserve">In </w:t>
      </w:r>
      <w:r w:rsidR="009873F1">
        <w:t xml:space="preserve">most </w:t>
      </w:r>
      <w:r w:rsidR="0066272A">
        <w:t xml:space="preserve">cases, </w:t>
      </w:r>
      <w:r w:rsidR="009873F1">
        <w:t xml:space="preserve">however, </w:t>
      </w:r>
      <w:r w:rsidR="00950FD4">
        <w:t xml:space="preserve">justice delayed </w:t>
      </w:r>
      <w:r w:rsidR="00926C56">
        <w:t>is justice denied</w:t>
      </w:r>
      <w:r w:rsidR="0066272A">
        <w:t>.</w:t>
      </w:r>
    </w:p>
    <w:p w14:paraId="3C6E3F36" w14:textId="705F2E1B" w:rsidR="00F8149A" w:rsidRDefault="00F8149A" w:rsidP="3C5767F7">
      <w:pPr>
        <w:pStyle w:val="ListParagraph"/>
        <w:numPr>
          <w:ilvl w:val="1"/>
          <w:numId w:val="2"/>
        </w:numPr>
        <w:spacing w:line="480" w:lineRule="auto"/>
        <w:jc w:val="both"/>
      </w:pPr>
      <w:r w:rsidRPr="3C5767F7">
        <w:rPr>
          <w:b/>
          <w:bCs/>
          <w:i/>
          <w:iCs/>
        </w:rPr>
        <w:t xml:space="preserve">Commission on Human Rights </w:t>
      </w:r>
      <w:r w:rsidR="48483EA2" w:rsidRPr="3C5767F7">
        <w:rPr>
          <w:b/>
          <w:bCs/>
          <w:i/>
          <w:iCs/>
        </w:rPr>
        <w:t>Implementation</w:t>
      </w:r>
    </w:p>
    <w:p w14:paraId="0D280D31" w14:textId="7030D5D4" w:rsidR="67759A4D" w:rsidRDefault="67759A4D" w:rsidP="3C5767F7">
      <w:pPr>
        <w:pStyle w:val="ListParagraph"/>
        <w:numPr>
          <w:ilvl w:val="0"/>
          <w:numId w:val="1"/>
        </w:numPr>
        <w:spacing w:line="480" w:lineRule="auto"/>
        <w:jc w:val="both"/>
        <w:rPr>
          <w:i/>
          <w:iCs/>
        </w:rPr>
      </w:pPr>
      <w:r w:rsidRPr="3C5767F7">
        <w:rPr>
          <w:i/>
          <w:iCs/>
        </w:rPr>
        <w:t>Fair Chance in Employment rollout</w:t>
      </w:r>
    </w:p>
    <w:p w14:paraId="0076903D" w14:textId="003E8490" w:rsidR="00A502F9" w:rsidRDefault="00213A3A" w:rsidP="00213A3A">
      <w:pPr>
        <w:spacing w:line="480" w:lineRule="auto"/>
        <w:ind w:firstLine="720"/>
        <w:jc w:val="both"/>
      </w:pPr>
      <w:r>
        <w:t xml:space="preserve">When the </w:t>
      </w:r>
      <w:r w:rsidR="001864FA">
        <w:t xml:space="preserve">FCA </w:t>
      </w:r>
      <w:r>
        <w:t xml:space="preserve">Employment law took effect in late </w:t>
      </w:r>
      <w:r w:rsidR="00A40FA8">
        <w:t>2015</w:t>
      </w:r>
      <w:r>
        <w:t xml:space="preserve">, </w:t>
      </w:r>
      <w:r w:rsidR="001864FA">
        <w:t>the City Commission on Human Rights (</w:t>
      </w:r>
      <w:r>
        <w:t>CCHR</w:t>
      </w:r>
      <w:r w:rsidR="001864FA">
        <w:t>)</w:t>
      </w:r>
      <w:r>
        <w:t xml:space="preserve"> implemented a range of strategies to ensure the law’s effectiveness</w:t>
      </w:r>
      <w:r w:rsidR="001864FA">
        <w:t xml:space="preserve">. First, </w:t>
      </w:r>
      <w:r>
        <w:t xml:space="preserve">CCHR created new supervisory and leadership roles for a dedicated Fair Chance legal unit in its Law Enforcement Bureau (LEB); by the end of 2016, LEB consisted of 50 staff, including 34 </w:t>
      </w:r>
      <w:r>
        <w:lastRenderedPageBreak/>
        <w:t>attorneys.</w:t>
      </w:r>
      <w:r>
        <w:rPr>
          <w:rStyle w:val="FootnoteReference"/>
        </w:rPr>
        <w:footnoteReference w:id="56"/>
      </w:r>
      <w:r>
        <w:t xml:space="preserve"> CCHR also issued legal enforcement guidance, conducted rulemaking</w:t>
      </w:r>
      <w:r w:rsidR="001864FA">
        <w:t xml:space="preserve"> in advance of the law’s coming into effect</w:t>
      </w:r>
      <w:r>
        <w:t>, and launched public awareness campaigns and training modules for both employers and people with criminal records.</w:t>
      </w:r>
      <w:r>
        <w:rPr>
          <w:rStyle w:val="FootnoteReference"/>
        </w:rPr>
        <w:footnoteReference w:id="57"/>
      </w:r>
      <w:r>
        <w:t xml:space="preserve"> This support infrastructure allowed the Fair Chance unit to engage in concerted enforcement efforts beginning immediately, including 138 claims filed in </w:t>
      </w:r>
      <w:r w:rsidR="001864FA">
        <w:t xml:space="preserve">FCA Employment </w:t>
      </w:r>
      <w:r>
        <w:t>complaints</w:t>
      </w:r>
      <w:r w:rsidR="001864FA">
        <w:rPr>
          <w:rStyle w:val="FootnoteReference"/>
        </w:rPr>
        <w:footnoteReference w:id="58"/>
      </w:r>
      <w:r w:rsidR="001864FA">
        <w:t xml:space="preserve"> </w:t>
      </w:r>
      <w:r>
        <w:t>in 2016,</w:t>
      </w:r>
      <w:r w:rsidRPr="00105634">
        <w:t xml:space="preserve"> </w:t>
      </w:r>
      <w:r>
        <w:t>the first full year that the law was in effect.</w:t>
      </w:r>
      <w:r>
        <w:rPr>
          <w:rStyle w:val="FootnoteReference"/>
        </w:rPr>
        <w:footnoteReference w:id="59"/>
      </w:r>
      <w:r>
        <w:t xml:space="preserve"> CCHR prioritized proactive, Commission-initiated enforcement efforts during the launch of </w:t>
      </w:r>
      <w:r w:rsidR="00A502F9">
        <w:t xml:space="preserve">the FCA </w:t>
      </w:r>
      <w:r>
        <w:t xml:space="preserve">Employment </w:t>
      </w:r>
      <w:r w:rsidR="00A502F9">
        <w:t>law</w:t>
      </w:r>
      <w:r>
        <w:t>: in 2016, CCHR initiated 190 investigations into discrimination based on arrest or conviction record (representing nearly half of all Commission-initiated investigations that year),</w:t>
      </w:r>
      <w:r>
        <w:rPr>
          <w:rStyle w:val="FootnoteReference"/>
        </w:rPr>
        <w:footnoteReference w:id="60"/>
      </w:r>
      <w:r>
        <w:t xml:space="preserve"> and </w:t>
      </w:r>
      <w:r w:rsidRPr="00BB576B">
        <w:t>conducted</w:t>
      </w:r>
      <w:r>
        <w:t xml:space="preserve"> 235 tests for discrimination for arrest or conviction record across 13 different employment sectors.</w:t>
      </w:r>
      <w:r>
        <w:rPr>
          <w:rStyle w:val="FootnoteReference"/>
        </w:rPr>
        <w:footnoteReference w:id="61"/>
      </w:r>
      <w:r>
        <w:t xml:space="preserve"> Out of these 235 tests, 148 (63 percent) were found to be in violation of the </w:t>
      </w:r>
      <w:r w:rsidR="00A40FA8">
        <w:t>FCA</w:t>
      </w:r>
      <w:r>
        <w:t xml:space="preserve">; 25 of these resulted in a complaint being filed, </w:t>
      </w:r>
      <w:r w:rsidR="00A502F9">
        <w:t xml:space="preserve">with </w:t>
      </w:r>
      <w:r>
        <w:t xml:space="preserve">the remainder resolved </w:t>
      </w:r>
      <w:r w:rsidR="00A502F9">
        <w:t xml:space="preserve">prior to filing a </w:t>
      </w:r>
      <w:r>
        <w:t>complaint.</w:t>
      </w:r>
      <w:r>
        <w:rPr>
          <w:rStyle w:val="FootnoteReference"/>
        </w:rPr>
        <w:footnoteReference w:id="62"/>
      </w:r>
      <w:r>
        <w:t xml:space="preserve"> At the same time, CCHR fielded 200 inquiries related to discrimination on the basis of arrest or conviction record,</w:t>
      </w:r>
      <w:r w:rsidR="00A502F9">
        <w:rPr>
          <w:rStyle w:val="FootnoteReference"/>
        </w:rPr>
        <w:footnoteReference w:id="63"/>
      </w:r>
      <w:r>
        <w:t xml:space="preserve"> of which 69 percent (138 </w:t>
      </w:r>
      <w:r>
        <w:lastRenderedPageBreak/>
        <w:t>claims) were converted to complaints.</w:t>
      </w:r>
      <w:r>
        <w:rPr>
          <w:rStyle w:val="FootnoteReference"/>
        </w:rPr>
        <w:footnoteReference w:id="64"/>
      </w:r>
      <w:r>
        <w:t xml:space="preserve"> Also in 2016, CCHR settled a criminal record discrimination case with a nationwide employer for $65</w:t>
      </w:r>
      <w:r w:rsidR="00A40FA8">
        <w:t>,000</w:t>
      </w:r>
      <w:r>
        <w:t xml:space="preserve"> in damages and civil penalties, and an agreement to undertake remedial actions.</w:t>
      </w:r>
      <w:r>
        <w:rPr>
          <w:rStyle w:val="FootnoteReference"/>
        </w:rPr>
        <w:footnoteReference w:id="65"/>
      </w:r>
      <w:r>
        <w:t xml:space="preserve"> </w:t>
      </w:r>
    </w:p>
    <w:p w14:paraId="10B8880A" w14:textId="5F4D864F" w:rsidR="00213A3A" w:rsidRDefault="00213A3A" w:rsidP="00213A3A">
      <w:pPr>
        <w:spacing w:line="480" w:lineRule="auto"/>
        <w:ind w:firstLine="720"/>
        <w:jc w:val="both"/>
      </w:pPr>
      <w:r>
        <w:t xml:space="preserve">Altogether, over the first </w:t>
      </w:r>
      <w:r w:rsidR="00A40FA8">
        <w:t xml:space="preserve">four </w:t>
      </w:r>
      <w:r>
        <w:t xml:space="preserve">years of the law’s taking effect, CCHR filed more than 450 complaints, including 69 Commission-initiated complaints resulting from discrimination uncovered by CCHR’s in-house testers, and resolved cases with a number of large employers including </w:t>
      </w:r>
      <w:proofErr w:type="spellStart"/>
      <w:r w:rsidRPr="000D70ED">
        <w:t>CityMD</w:t>
      </w:r>
      <w:proofErr w:type="spellEnd"/>
      <w:r w:rsidRPr="000D70ED">
        <w:t>, Yelp, Mount Sinai Medical Systems, and CVS</w:t>
      </w:r>
      <w:r>
        <w:t>.</w:t>
      </w:r>
      <w:r>
        <w:rPr>
          <w:rStyle w:val="FootnoteReference"/>
        </w:rPr>
        <w:footnoteReference w:id="66"/>
      </w:r>
      <w:r>
        <w:t xml:space="preserve"> Altogether, these cases secured over $1 million in damages and penalties.</w:t>
      </w:r>
      <w:r>
        <w:rPr>
          <w:rStyle w:val="FootnoteReference"/>
        </w:rPr>
        <w:footnoteReference w:id="67"/>
      </w:r>
      <w:r w:rsidR="00261885">
        <w:t xml:space="preserve"> By 2018, </w:t>
      </w:r>
      <w:r w:rsidR="009873F1">
        <w:t xml:space="preserve">in testament to the effectiveness of CCHR’s rollout, </w:t>
      </w:r>
      <w:r w:rsidR="00261885">
        <w:t>legal advisors in New York were specifically advising clients that “[c]</w:t>
      </w:r>
      <w:proofErr w:type="spellStart"/>
      <w:r w:rsidR="00261885" w:rsidRPr="00376B55">
        <w:t>ompliance</w:t>
      </w:r>
      <w:proofErr w:type="spellEnd"/>
      <w:r w:rsidR="00261885" w:rsidRPr="00376B55">
        <w:t xml:space="preserve"> with the Fair Chance Act, while complicated and burdensome, is necessary given the Commission’s active involvement in implementation and enforcement</w:t>
      </w:r>
      <w:r w:rsidR="00261885">
        <w:t>.”</w:t>
      </w:r>
      <w:r w:rsidR="00261885">
        <w:rPr>
          <w:rStyle w:val="FootnoteReference"/>
        </w:rPr>
        <w:footnoteReference w:id="68"/>
      </w:r>
    </w:p>
    <w:p w14:paraId="1247AEF8" w14:textId="60931083" w:rsidR="00213A3A" w:rsidRDefault="00213A3A" w:rsidP="00213A3A">
      <w:pPr>
        <w:spacing w:line="480" w:lineRule="auto"/>
        <w:jc w:val="both"/>
      </w:pPr>
      <w:r>
        <w:tab/>
        <w:t>In order to improve compliance and prevent violations from ever occurring, CCHR’s legal guidance and rulemaking are essential, especially given that Fair Chance laws prohibit previously commonplace conduct and entail following multi-step procedures.</w:t>
      </w:r>
      <w:r>
        <w:rPr>
          <w:rStyle w:val="FootnoteReference"/>
        </w:rPr>
        <w:footnoteReference w:id="69"/>
      </w:r>
      <w:r>
        <w:t xml:space="preserve"> </w:t>
      </w:r>
      <w:r w:rsidR="001805B9">
        <w:t xml:space="preserve">By the time </w:t>
      </w:r>
      <w:r w:rsidR="00F0726B">
        <w:t xml:space="preserve">the law came into </w:t>
      </w:r>
      <w:r w:rsidR="00F0726B">
        <w:lastRenderedPageBreak/>
        <w:t xml:space="preserve">effect in late 2015, </w:t>
      </w:r>
      <w:r>
        <w:t xml:space="preserve">CCHR </w:t>
      </w:r>
      <w:r w:rsidR="00F0726B">
        <w:t xml:space="preserve">had already </w:t>
      </w:r>
      <w:r w:rsidR="00DD3749">
        <w:t xml:space="preserve">published </w:t>
      </w:r>
      <w:r w:rsidR="00662DEA">
        <w:t xml:space="preserve">legal enforcement guidance; by 2017 it had promulgated </w:t>
      </w:r>
      <w:r>
        <w:t>the Fair Chance Employment Rules</w:t>
      </w:r>
      <w:r w:rsidR="00B11A7A">
        <w:t>,</w:t>
      </w:r>
      <w:r>
        <w:t xml:space="preserve"> pursuant to a public rulemaking process</w:t>
      </w:r>
      <w:r w:rsidR="009A6531">
        <w:t>.</w:t>
      </w:r>
      <w:r w:rsidR="009A6531">
        <w:rPr>
          <w:rStyle w:val="FootnoteReference"/>
        </w:rPr>
        <w:footnoteReference w:id="70"/>
      </w:r>
      <w:r>
        <w:t xml:space="preserve"> </w:t>
      </w:r>
      <w:r w:rsidR="00634212">
        <w:t xml:space="preserve">These rules explain to providers how to implement the law in practice, including through </w:t>
      </w:r>
      <w:r>
        <w:t xml:space="preserve">examples of how to comply and how the rules </w:t>
      </w:r>
      <w:r w:rsidR="00634212">
        <w:t>are</w:t>
      </w:r>
      <w:r>
        <w:t xml:space="preserve"> enforced</w:t>
      </w:r>
      <w:r w:rsidR="00A502F9">
        <w:t>, including a penalty schedules for violations</w:t>
      </w:r>
      <w:r>
        <w:t>.</w:t>
      </w:r>
      <w:r>
        <w:rPr>
          <w:rStyle w:val="FootnoteReference"/>
        </w:rPr>
        <w:footnoteReference w:id="71"/>
      </w:r>
      <w:r>
        <w:t xml:space="preserve"> The </w:t>
      </w:r>
      <w:r w:rsidR="00634212">
        <w:t>r</w:t>
      </w:r>
      <w:r>
        <w:t xml:space="preserve">ules also provide a standard form that employers may use in compliance with </w:t>
      </w:r>
      <w:r w:rsidR="00A502F9">
        <w:t xml:space="preserve">FCA </w:t>
      </w:r>
      <w:r>
        <w:t>Employment requirements,</w:t>
      </w:r>
      <w:r>
        <w:rPr>
          <w:rStyle w:val="FootnoteReference"/>
        </w:rPr>
        <w:footnoteReference w:id="72"/>
      </w:r>
      <w:r>
        <w:t xml:space="preserve"> and create a streamlined, early resolution process for </w:t>
      </w:r>
      <w:r>
        <w:rPr>
          <w:i/>
          <w:iCs/>
        </w:rPr>
        <w:t>per se</w:t>
      </w:r>
      <w:r>
        <w:t xml:space="preserve"> violations.</w:t>
      </w:r>
      <w:r>
        <w:rPr>
          <w:rStyle w:val="FootnoteReference"/>
        </w:rPr>
        <w:footnoteReference w:id="73"/>
      </w:r>
      <w:r>
        <w:t xml:space="preserve"> </w:t>
      </w:r>
    </w:p>
    <w:p w14:paraId="63102793" w14:textId="5B5726AF" w:rsidR="00213A3A" w:rsidRDefault="00213A3A" w:rsidP="00213A3A">
      <w:pPr>
        <w:spacing w:line="480" w:lineRule="auto"/>
        <w:jc w:val="both"/>
      </w:pPr>
      <w:r>
        <w:tab/>
        <w:t xml:space="preserve">Fair Chance trainings for employers and </w:t>
      </w:r>
      <w:r w:rsidR="00A40FA8">
        <w:t>formerly incarcerated</w:t>
      </w:r>
      <w:r>
        <w:t xml:space="preserve"> individuals, which CCHR has offered in multiple languages,</w:t>
      </w:r>
      <w:r>
        <w:rPr>
          <w:rStyle w:val="FootnoteReference"/>
        </w:rPr>
        <w:footnoteReference w:id="74"/>
      </w:r>
      <w:r>
        <w:t xml:space="preserve"> include information on employer obligations and applicant rights under the Human Rights Law, including prohibitions against discrimination due to credit history, as well as resources for proper implementation of these obligations, how to report violations, and available remedies under the law.</w:t>
      </w:r>
      <w:r>
        <w:rPr>
          <w:rStyle w:val="FootnoteReference"/>
        </w:rPr>
        <w:footnoteReference w:id="75"/>
      </w:r>
      <w:r>
        <w:t xml:space="preserve"> In 2016, CCHR conducted </w:t>
      </w:r>
      <w:r w:rsidRPr="00B646A0">
        <w:t>250 outreach and educational activities for 9,383 individuals while providing technical assistance to 1,066 people</w:t>
      </w:r>
      <w:r>
        <w:t xml:space="preserve"> regarding the new </w:t>
      </w:r>
      <w:r w:rsidRPr="00B646A0">
        <w:t>Fair Chance protections;</w:t>
      </w:r>
      <w:r>
        <w:rPr>
          <w:rStyle w:val="FootnoteReference"/>
        </w:rPr>
        <w:footnoteReference w:id="76"/>
      </w:r>
      <w:r w:rsidRPr="00B646A0">
        <w:t xml:space="preserve"> the following year, this was increased to 305 outreach </w:t>
      </w:r>
      <w:r w:rsidRPr="00B646A0">
        <w:lastRenderedPageBreak/>
        <w:t>and educational activities for 9,169 individuals and technical assistance for 918 people.</w:t>
      </w:r>
      <w:r w:rsidRPr="00B646A0">
        <w:rPr>
          <w:rStyle w:val="FootnoteReference"/>
        </w:rPr>
        <w:footnoteReference w:id="77"/>
      </w:r>
      <w:r w:rsidRPr="00B646A0">
        <w:t xml:space="preserve"> Over the </w:t>
      </w:r>
      <w:r>
        <w:t>initial 4 years after the law took effect, CCHR conducted approximately 1,150 trainings, including over 500 at</w:t>
      </w:r>
      <w:r w:rsidR="00A40FA8">
        <w:t xml:space="preserve"> the jail complex on</w:t>
      </w:r>
      <w:r>
        <w:t xml:space="preserve"> Rikers </w:t>
      </w:r>
      <w:r w:rsidR="00A40FA8">
        <w:t xml:space="preserve">Island </w:t>
      </w:r>
      <w:r>
        <w:t>and more than 50 in partnerships with the City Department</w:t>
      </w:r>
      <w:r w:rsidR="00A502F9">
        <w:t>s</w:t>
      </w:r>
      <w:r>
        <w:t xml:space="preserve"> of Correction</w:t>
      </w:r>
      <w:r w:rsidR="00A502F9">
        <w:t xml:space="preserve"> (DOC) and</w:t>
      </w:r>
      <w:r>
        <w:t xml:space="preserve"> Probation</w:t>
      </w:r>
      <w:r w:rsidR="00A502F9">
        <w:t xml:space="preserve"> (DOP)</w:t>
      </w:r>
      <w:r>
        <w:t xml:space="preserve">, the NYC Housing Authority (NYCHA), </w:t>
      </w:r>
      <w:r w:rsidR="00A502F9">
        <w:t xml:space="preserve">and </w:t>
      </w:r>
      <w:r>
        <w:t xml:space="preserve">counterpart agencies at the </w:t>
      </w:r>
      <w:r w:rsidR="00A40FA8">
        <w:t xml:space="preserve">state </w:t>
      </w:r>
      <w:r>
        <w:t>level.</w:t>
      </w:r>
      <w:r>
        <w:rPr>
          <w:rStyle w:val="FootnoteReference"/>
        </w:rPr>
        <w:footnoteReference w:id="78"/>
      </w:r>
      <w:r>
        <w:t xml:space="preserve"> CCHR also </w:t>
      </w:r>
      <w:r w:rsidR="00A502F9">
        <w:t>provid</w:t>
      </w:r>
      <w:r>
        <w:t>ed such trainings to community organizations, businesses, houses of worship, and bar associations across the five boroughs, and launched a large public outreach campaign with multilingual ads in subways, online, on radio, and in print publications.</w:t>
      </w:r>
      <w:r>
        <w:rPr>
          <w:rStyle w:val="FootnoteReference"/>
        </w:rPr>
        <w:footnoteReference w:id="79"/>
      </w:r>
    </w:p>
    <w:p w14:paraId="550AE7D2" w14:textId="0ADE8052" w:rsidR="00213A3A" w:rsidRPr="00213A3A" w:rsidRDefault="00213A3A" w:rsidP="001A0B3E">
      <w:pPr>
        <w:spacing w:line="480" w:lineRule="auto"/>
        <w:ind w:firstLine="720"/>
        <w:jc w:val="both"/>
      </w:pPr>
      <w:r>
        <w:t xml:space="preserve">The successful launch of </w:t>
      </w:r>
      <w:r w:rsidR="00A502F9">
        <w:t>FCA</w:t>
      </w:r>
      <w:r>
        <w:t xml:space="preserve"> Employment protections, considered some of the strongest in the nation, also had positive effects outside of New York City.</w:t>
      </w:r>
      <w:r>
        <w:rPr>
          <w:rStyle w:val="FootnoteReference"/>
        </w:rPr>
        <w:footnoteReference w:id="80"/>
      </w:r>
      <w:r>
        <w:t xml:space="preserve"> Major case settlements have secured nationwide commitments from multi-state employers, and CCHR’s rule-making and proactive enforcement push have been cited as examples to follow for </w:t>
      </w:r>
      <w:r w:rsidR="00011A92">
        <w:t xml:space="preserve">the wave of </w:t>
      </w:r>
      <w:r>
        <w:t xml:space="preserve">other jurisdictions </w:t>
      </w:r>
      <w:r w:rsidR="0085661A">
        <w:t xml:space="preserve">that </w:t>
      </w:r>
      <w:r>
        <w:t>implement</w:t>
      </w:r>
      <w:r w:rsidR="0085661A">
        <w:t>ed</w:t>
      </w:r>
      <w:r>
        <w:t xml:space="preserve"> </w:t>
      </w:r>
      <w:r w:rsidR="00A502F9">
        <w:t>fair chance</w:t>
      </w:r>
      <w:r>
        <w:t xml:space="preserve"> laws</w:t>
      </w:r>
      <w:r w:rsidR="0085661A">
        <w:t xml:space="preserve"> </w:t>
      </w:r>
      <w:r w:rsidR="00011A92">
        <w:t xml:space="preserve">in </w:t>
      </w:r>
      <w:r w:rsidR="00CB3E2D">
        <w:t>subsequent years</w:t>
      </w:r>
      <w:r>
        <w:t>.</w:t>
      </w:r>
      <w:r>
        <w:rPr>
          <w:rStyle w:val="FootnoteReference"/>
        </w:rPr>
        <w:footnoteReference w:id="81"/>
      </w:r>
    </w:p>
    <w:p w14:paraId="74AB4F5D" w14:textId="3BCCF51F" w:rsidR="70B95680" w:rsidRDefault="54F422B7" w:rsidP="70B95680">
      <w:pPr>
        <w:pStyle w:val="ListParagraph"/>
        <w:numPr>
          <w:ilvl w:val="0"/>
          <w:numId w:val="1"/>
        </w:numPr>
        <w:spacing w:line="480" w:lineRule="auto"/>
        <w:jc w:val="both"/>
        <w:rPr>
          <w:i/>
          <w:iCs/>
        </w:rPr>
      </w:pPr>
      <w:r w:rsidRPr="5C572D21">
        <w:rPr>
          <w:i/>
          <w:iCs/>
        </w:rPr>
        <w:t xml:space="preserve">Recent enforcement </w:t>
      </w:r>
      <w:r w:rsidR="4437FCB7" w:rsidRPr="2D690AA3">
        <w:rPr>
          <w:i/>
          <w:iCs/>
        </w:rPr>
        <w:t xml:space="preserve">trends </w:t>
      </w:r>
      <w:r w:rsidRPr="2D690AA3">
        <w:rPr>
          <w:i/>
          <w:iCs/>
        </w:rPr>
        <w:t>under</w:t>
      </w:r>
      <w:r w:rsidRPr="4DF74843">
        <w:rPr>
          <w:i/>
          <w:iCs/>
        </w:rPr>
        <w:t xml:space="preserve"> the</w:t>
      </w:r>
      <w:r w:rsidRPr="5C572D21">
        <w:rPr>
          <w:i/>
          <w:iCs/>
        </w:rPr>
        <w:t xml:space="preserve"> </w:t>
      </w:r>
      <w:r w:rsidR="587D033E" w:rsidRPr="5C572D21">
        <w:rPr>
          <w:i/>
          <w:iCs/>
        </w:rPr>
        <w:t>Fair</w:t>
      </w:r>
      <w:r w:rsidR="587D033E" w:rsidRPr="20CC7E23">
        <w:rPr>
          <w:i/>
          <w:iCs/>
        </w:rPr>
        <w:t xml:space="preserve"> Chance</w:t>
      </w:r>
      <w:r w:rsidR="587D033E" w:rsidRPr="4EBA20CF">
        <w:rPr>
          <w:i/>
          <w:iCs/>
        </w:rPr>
        <w:t xml:space="preserve"> </w:t>
      </w:r>
      <w:r w:rsidR="25592D09" w:rsidRPr="5435E0EE">
        <w:rPr>
          <w:i/>
          <w:iCs/>
        </w:rPr>
        <w:t xml:space="preserve">in </w:t>
      </w:r>
      <w:r w:rsidR="587D033E" w:rsidRPr="28D9C920">
        <w:rPr>
          <w:i/>
          <w:iCs/>
        </w:rPr>
        <w:t xml:space="preserve">Employment </w:t>
      </w:r>
      <w:r w:rsidR="17F9ADB8" w:rsidRPr="5435E0EE">
        <w:rPr>
          <w:i/>
          <w:iCs/>
        </w:rPr>
        <w:t>law</w:t>
      </w:r>
    </w:p>
    <w:p w14:paraId="57D3480F" w14:textId="73602797" w:rsidR="00993945" w:rsidRDefault="00993945" w:rsidP="00CB3E2D">
      <w:pPr>
        <w:spacing w:line="480" w:lineRule="auto"/>
        <w:ind w:firstLine="720"/>
        <w:jc w:val="both"/>
      </w:pPr>
      <w:r w:rsidRPr="00BC4274">
        <w:t xml:space="preserve">Enforcement of </w:t>
      </w:r>
      <w:r w:rsidR="00A502F9">
        <w:t xml:space="preserve">FCA </w:t>
      </w:r>
      <w:r w:rsidRPr="00BC4274">
        <w:t>Employment protections has </w:t>
      </w:r>
      <w:r>
        <w:t>demonstrably weakened in recent years, as staffing levels have fallen and inquiries have more than doubled</w:t>
      </w:r>
      <w:r w:rsidRPr="00BC4274">
        <w:t xml:space="preserve">. </w:t>
      </w:r>
      <w:r w:rsidR="00B11A7A">
        <w:t>Whereas i</w:t>
      </w:r>
      <w:r w:rsidR="00B11A7A" w:rsidRPr="00DB391C">
        <w:t xml:space="preserve">n </w:t>
      </w:r>
      <w:r w:rsidR="00B11A7A">
        <w:t xml:space="preserve">FY </w:t>
      </w:r>
      <w:r w:rsidR="00B11A7A" w:rsidRPr="00DB391C">
        <w:t>2016</w:t>
      </w:r>
      <w:r w:rsidR="00B11A7A">
        <w:t xml:space="preserve"> and 2017</w:t>
      </w:r>
      <w:r w:rsidR="00B11A7A" w:rsidRPr="00DB391C">
        <w:t xml:space="preserve">, </w:t>
      </w:r>
      <w:r w:rsidR="00B11A7A">
        <w:t>respectively</w:t>
      </w:r>
      <w:r w:rsidR="00B11A7A" w:rsidRPr="00DB391C">
        <w:t>,</w:t>
      </w:r>
      <w:r w:rsidR="00B11A7A">
        <w:t xml:space="preserve"> CCHR filed</w:t>
      </w:r>
      <w:r w:rsidR="00B11A7A" w:rsidRPr="00DB391C">
        <w:t xml:space="preserve"> </w:t>
      </w:r>
      <w:r w:rsidR="00B11A7A">
        <w:t>138</w:t>
      </w:r>
      <w:r w:rsidR="00B11A7A" w:rsidRPr="00DB391C">
        <w:t xml:space="preserve"> </w:t>
      </w:r>
      <w:r w:rsidR="00B11A7A">
        <w:t xml:space="preserve">and 116 </w:t>
      </w:r>
      <w:r w:rsidR="00B11A7A" w:rsidRPr="00DB391C">
        <w:t xml:space="preserve">claims of discrimination on the basis of arrest or conviction </w:t>
      </w:r>
      <w:r w:rsidR="00B11A7A" w:rsidRPr="00DB391C">
        <w:lastRenderedPageBreak/>
        <w:t>record</w:t>
      </w:r>
      <w:r w:rsidR="00B11A7A">
        <w:t>,</w:t>
      </w:r>
      <w:r w:rsidR="00B11A7A" w:rsidRPr="00DB391C">
        <w:rPr>
          <w:rStyle w:val="FootnoteReference"/>
        </w:rPr>
        <w:footnoteReference w:id="82"/>
      </w:r>
      <w:r w:rsidR="00B11A7A">
        <w:t xml:space="preserve"> CCHR only filed complaints containing 29 and 32 such claims in FY 2024 and FY 2025, respectively</w:t>
      </w:r>
      <w:r w:rsidR="000F1963">
        <w:t>.</w:t>
      </w:r>
      <w:r w:rsidR="00B11A7A">
        <w:rPr>
          <w:rStyle w:val="FootnoteReference"/>
        </w:rPr>
        <w:footnoteReference w:id="83"/>
      </w:r>
      <w:r w:rsidR="00A502F9">
        <w:t xml:space="preserve"> </w:t>
      </w:r>
      <w:r>
        <w:t xml:space="preserve">Furthermore, despite the fact that </w:t>
      </w:r>
      <w:r w:rsidR="000F1963">
        <w:t xml:space="preserve">FCA </w:t>
      </w:r>
      <w:r>
        <w:t>Employment cases are good candidates for early and pre-complaint intervention</w:t>
      </w:r>
      <w:r w:rsidR="000F1963">
        <w:t xml:space="preserve"> (as demonstrated by the dozens of such cases that were resolved in this way every year from 2016 to 2021),</w:t>
      </w:r>
      <w:r>
        <w:rPr>
          <w:rStyle w:val="FootnoteReference"/>
        </w:rPr>
        <w:footnoteReference w:id="84"/>
      </w:r>
      <w:r>
        <w:t xml:space="preserve"> not a single Fair Chance case </w:t>
      </w:r>
      <w:r w:rsidR="000F1963">
        <w:t xml:space="preserve">has been </w:t>
      </w:r>
      <w:r>
        <w:t xml:space="preserve">resolved through pre-complaint intervention </w:t>
      </w:r>
      <w:r w:rsidR="000F1963">
        <w:t>since 2022</w:t>
      </w:r>
      <w:r>
        <w:t>.</w:t>
      </w:r>
      <w:r>
        <w:rPr>
          <w:rStyle w:val="FootnoteReference"/>
        </w:rPr>
        <w:footnoteReference w:id="85"/>
      </w:r>
    </w:p>
    <w:p w14:paraId="08E868EB" w14:textId="0DA28EA1" w:rsidR="00ED3AB0" w:rsidRDefault="00993945" w:rsidP="00993945">
      <w:pPr>
        <w:spacing w:line="480" w:lineRule="auto"/>
        <w:ind w:firstLine="720"/>
        <w:jc w:val="both"/>
      </w:pPr>
      <w:r>
        <w:t xml:space="preserve">These data suggest </w:t>
      </w:r>
      <w:r w:rsidR="008E3E34">
        <w:t>several</w:t>
      </w:r>
      <w:r>
        <w:t xml:space="preserve"> concerns</w:t>
      </w:r>
      <w:r w:rsidR="008E3E34">
        <w:t xml:space="preserve"> about how the agency is detecting and pursuing cases against violators of the law.</w:t>
      </w:r>
      <w:r>
        <w:t xml:space="preserve"> </w:t>
      </w:r>
      <w:r w:rsidR="008E3E34">
        <w:t xml:space="preserve">First, it seems likely that </w:t>
      </w:r>
      <w:r>
        <w:t xml:space="preserve">not all viable claims are being identified </w:t>
      </w:r>
      <w:r w:rsidR="000322E8">
        <w:t>at the beginning of the process, when CCHR first receives a request for help</w:t>
      </w:r>
      <w:r>
        <w:t>.</w:t>
      </w:r>
      <w:r w:rsidR="000322E8">
        <w:t xml:space="preserve"> When a member of the public believes that unlawful discrimination has occurred, they can reach out to CCHR in person, on their telephone “Infoline,” or by email</w:t>
      </w:r>
      <w:r w:rsidR="00862692">
        <w:t>.</w:t>
      </w:r>
      <w:r w:rsidR="000322E8">
        <w:t xml:space="preserve"> </w:t>
      </w:r>
      <w:r w:rsidR="00862692">
        <w:t xml:space="preserve">CCHR records such requests as </w:t>
      </w:r>
      <w:r w:rsidR="000322E8">
        <w:t>“inquir</w:t>
      </w:r>
      <w:r w:rsidR="00862692">
        <w:t>ies</w:t>
      </w:r>
      <w:r w:rsidR="000322E8">
        <w:t>”</w:t>
      </w:r>
      <w:r w:rsidR="00ED3AB0">
        <w:t xml:space="preserve"> and</w:t>
      </w:r>
      <w:r w:rsidR="000322E8">
        <w:t xml:space="preserve"> </w:t>
      </w:r>
      <w:r w:rsidR="00862692">
        <w:t xml:space="preserve">tries to identify what aspect of the Human Rights Law may provide protection, which CCHR refers to as a “protected class.” </w:t>
      </w:r>
      <w:r w:rsidR="00ED3AB0">
        <w:t>Where a protected class can be identified, this information is recorded and reported annually to track any changes in frequency of various types of discrimination.</w:t>
      </w:r>
      <w:r w:rsidR="008E3E34" w:rsidRPr="008E3E34">
        <w:rPr>
          <w:rStyle w:val="FootnoteReference"/>
        </w:rPr>
        <w:t xml:space="preserve"> </w:t>
      </w:r>
      <w:r w:rsidR="008E3E34">
        <w:rPr>
          <w:rStyle w:val="FootnoteReference"/>
        </w:rPr>
        <w:footnoteReference w:id="86"/>
      </w:r>
      <w:r w:rsidR="00ED3AB0">
        <w:t xml:space="preserve"> It can also provide a useful point of context to understand what proportion of inquiries are being resolved in pre-complaint resolution or pursued as complaints.</w:t>
      </w:r>
      <w:r w:rsidR="00ED3AB0">
        <w:rPr>
          <w:rStyle w:val="FootnoteReference"/>
        </w:rPr>
        <w:footnoteReference w:id="87"/>
      </w:r>
    </w:p>
    <w:p w14:paraId="50E89047" w14:textId="40B9AD21" w:rsidR="005A2A7E" w:rsidRDefault="00993945" w:rsidP="00993945">
      <w:pPr>
        <w:spacing w:line="480" w:lineRule="auto"/>
        <w:ind w:firstLine="720"/>
        <w:jc w:val="both"/>
      </w:pPr>
      <w:r>
        <w:lastRenderedPageBreak/>
        <w:t xml:space="preserve">The percentage of </w:t>
      </w:r>
      <w:r w:rsidR="0049630D">
        <w:t xml:space="preserve">FCA </w:t>
      </w:r>
      <w:r>
        <w:t>Employment inquiries that result in viable claims has been consistently high (a strong majority) since the law came into effect nearly a decade ago.</w:t>
      </w:r>
      <w:r>
        <w:rPr>
          <w:rStyle w:val="FootnoteReference"/>
        </w:rPr>
        <w:footnoteReference w:id="88"/>
      </w:r>
      <w:r>
        <w:t xml:space="preserve"> </w:t>
      </w:r>
      <w:r w:rsidRPr="00BC771E">
        <w:t xml:space="preserve">It is </w:t>
      </w:r>
      <w:r>
        <w:t xml:space="preserve">all the more concerning, then, </w:t>
      </w:r>
      <w:r w:rsidRPr="00BC771E">
        <w:t xml:space="preserve">that </w:t>
      </w:r>
      <w:r>
        <w:t xml:space="preserve">today </w:t>
      </w:r>
      <w:r w:rsidRPr="00BC771E">
        <w:t xml:space="preserve">the percentage of inquiries with an identified protected class has dropped precipitously </w:t>
      </w:r>
      <w:r>
        <w:t xml:space="preserve">compared to </w:t>
      </w:r>
      <w:r w:rsidRPr="00BC771E">
        <w:t xml:space="preserve">the </w:t>
      </w:r>
      <w:r w:rsidR="004F1C67">
        <w:t>years when</w:t>
      </w:r>
      <w:r w:rsidRPr="00BC771E">
        <w:t xml:space="preserve"> </w:t>
      </w:r>
      <w:r w:rsidR="0049630D">
        <w:t xml:space="preserve">FCA </w:t>
      </w:r>
      <w:r w:rsidRPr="00BC771E">
        <w:t xml:space="preserve">Employment </w:t>
      </w:r>
      <w:r w:rsidR="004F1C67">
        <w:t xml:space="preserve">first </w:t>
      </w:r>
      <w:r w:rsidR="0049630D">
        <w:t>came into effect</w:t>
      </w:r>
      <w:r w:rsidRPr="00BC771E">
        <w:t>.</w:t>
      </w:r>
      <w:r w:rsidR="0049630D">
        <w:t xml:space="preserve"> Many people who contact CCHR may never proceed past the inquiry stage, especially in recent years as wait times for an intake have skyrocketed to months.</w:t>
      </w:r>
      <w:r w:rsidR="0049630D">
        <w:rPr>
          <w:rStyle w:val="FootnoteReference"/>
        </w:rPr>
        <w:footnoteReference w:id="89"/>
      </w:r>
      <w:r w:rsidR="0049630D">
        <w:t xml:space="preserve"> </w:t>
      </w:r>
      <w:r w:rsidR="004F1C67">
        <w:t xml:space="preserve">Yet </w:t>
      </w:r>
      <w:r w:rsidR="005A2A7E">
        <w:t xml:space="preserve">even as the </w:t>
      </w:r>
      <w:r w:rsidR="00A40FA8">
        <w:t xml:space="preserve">rate </w:t>
      </w:r>
      <w:r w:rsidR="005A2A7E">
        <w:t xml:space="preserve">of inquiries has doubled, the total number of inquiries </w:t>
      </w:r>
      <w:r w:rsidR="00435404">
        <w:t xml:space="preserve">for which CCHR </w:t>
      </w:r>
      <w:r w:rsidR="005A2A7E">
        <w:t xml:space="preserve">identified protected class and the number of claims </w:t>
      </w:r>
      <w:r w:rsidR="00435404">
        <w:t xml:space="preserve">CCHR </w:t>
      </w:r>
      <w:r w:rsidR="005A2A7E">
        <w:t>filed as complaints has stalled</w:t>
      </w:r>
      <w:r w:rsidR="004F1C67">
        <w:t xml:space="preserve"> and them begun to fall</w:t>
      </w:r>
      <w:r w:rsidR="005A2A7E">
        <w:t>, as seen below.</w:t>
      </w:r>
    </w:p>
    <w:p w14:paraId="02E01CDB" w14:textId="6ABFC1AB" w:rsidR="005A2A7E" w:rsidRPr="005A2A7E" w:rsidRDefault="005A2A7E" w:rsidP="005A2A7E">
      <w:pPr>
        <w:spacing w:line="480" w:lineRule="auto"/>
        <w:jc w:val="center"/>
        <w:rPr>
          <w:b/>
          <w:bCs/>
          <w:sz w:val="22"/>
          <w:szCs w:val="22"/>
        </w:rPr>
      </w:pPr>
      <w:r w:rsidRPr="005A2A7E">
        <w:rPr>
          <w:b/>
          <w:bCs/>
          <w:sz w:val="22"/>
          <w:szCs w:val="22"/>
        </w:rPr>
        <w:t>Volume Trend: Inquiries and Claims Over Time (2016–2025)</w:t>
      </w:r>
    </w:p>
    <w:p w14:paraId="68A7B1BD" w14:textId="20492294" w:rsidR="005A2A7E" w:rsidRDefault="005A2A7E" w:rsidP="005A2A7E">
      <w:pPr>
        <w:spacing w:line="480" w:lineRule="auto"/>
      </w:pPr>
      <w:r w:rsidRPr="005A2A7E">
        <w:rPr>
          <w:noProof/>
        </w:rPr>
        <w:drawing>
          <wp:inline distT="0" distB="0" distL="0" distR="0" wp14:anchorId="164F2EAF" wp14:editId="07279157">
            <wp:extent cx="5748950" cy="3100508"/>
            <wp:effectExtent l="0" t="0" r="4445" b="5080"/>
            <wp:docPr id="612781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39" t="4925" r="1294" b="-1173"/>
                    <a:stretch>
                      <a:fillRect/>
                    </a:stretch>
                  </pic:blipFill>
                  <pic:spPr bwMode="auto">
                    <a:xfrm>
                      <a:off x="0" y="0"/>
                      <a:ext cx="5748950" cy="3100508"/>
                    </a:xfrm>
                    <a:prstGeom prst="rect">
                      <a:avLst/>
                    </a:prstGeom>
                    <a:noFill/>
                    <a:ln>
                      <a:noFill/>
                    </a:ln>
                    <a:extLst>
                      <a:ext uri="{53640926-AAD7-44D8-BBD7-CCE9431645EC}">
                        <a14:shadowObscured xmlns:a14="http://schemas.microsoft.com/office/drawing/2010/main"/>
                      </a:ext>
                    </a:extLst>
                  </pic:spPr>
                </pic:pic>
              </a:graphicData>
            </a:graphic>
          </wp:inline>
        </w:drawing>
      </w:r>
    </w:p>
    <w:p w14:paraId="4D4C6523" w14:textId="0D6E7776" w:rsidR="0049630D" w:rsidRDefault="004F1C67" w:rsidP="004F1C67">
      <w:pPr>
        <w:spacing w:line="480" w:lineRule="auto"/>
        <w:jc w:val="both"/>
      </w:pPr>
      <w:r>
        <w:lastRenderedPageBreak/>
        <w:t>This is even more visible when examining the percentage of inquiries where a protected class is identified and the rate at which inquiries lead to complaints being filed</w:t>
      </w:r>
      <w:r w:rsidR="000322E8">
        <w:t xml:space="preserve">. </w:t>
      </w:r>
      <w:r w:rsidR="00FD69BC" w:rsidRPr="00BC771E">
        <w:t>In 2016 and</w:t>
      </w:r>
      <w:r w:rsidR="00FD69BC">
        <w:t xml:space="preserve"> 2017, CCHR was able to identify a protected class and jurisdiction for 41 percent and 37 percent of all inquiries, respectively. By FY 2023 the number of inquiries with an identified protected class plummeted to 21 percent, and in FY 2025, per CCHR’s most recent report, the agency was only able to identify a protected class for 14 percent of inquiries—in other words, fewer than 1 in 7 calls to the Infoline collected enough information to identify what type of discrimination may have occurred.</w:t>
      </w:r>
      <w:r w:rsidR="00FD69BC">
        <w:rPr>
          <w:rStyle w:val="FootnoteReference"/>
        </w:rPr>
        <w:footnoteReference w:id="90"/>
      </w:r>
    </w:p>
    <w:p w14:paraId="684E2AD9" w14:textId="163C3B1B" w:rsidR="0049630D" w:rsidRDefault="0049630D" w:rsidP="00390EB8">
      <w:pPr>
        <w:tabs>
          <w:tab w:val="left" w:pos="540"/>
          <w:tab w:val="left" w:pos="720"/>
        </w:tabs>
        <w:ind w:left="540"/>
        <w:jc w:val="both"/>
        <w:rPr>
          <w:sz w:val="22"/>
          <w:szCs w:val="22"/>
        </w:rPr>
      </w:pPr>
      <w:r w:rsidRPr="0049630D">
        <w:rPr>
          <w:b/>
          <w:bCs/>
          <w:sz w:val="22"/>
          <w:szCs w:val="22"/>
        </w:rPr>
        <w:t xml:space="preserve">Inquiry Volume </w:t>
      </w:r>
      <w:r w:rsidR="00C8757A">
        <w:rPr>
          <w:b/>
          <w:bCs/>
          <w:sz w:val="22"/>
          <w:szCs w:val="22"/>
        </w:rPr>
        <w:t xml:space="preserve">vs. </w:t>
      </w:r>
      <w:r w:rsidRPr="0049630D">
        <w:rPr>
          <w:b/>
          <w:bCs/>
          <w:sz w:val="22"/>
          <w:szCs w:val="22"/>
        </w:rPr>
        <w:t xml:space="preserve">Protected Class Identification </w:t>
      </w:r>
      <w:r w:rsidR="00C8757A">
        <w:rPr>
          <w:b/>
          <w:bCs/>
          <w:sz w:val="22"/>
          <w:szCs w:val="22"/>
        </w:rPr>
        <w:t>and</w:t>
      </w:r>
      <w:r w:rsidRPr="0049630D">
        <w:rPr>
          <w:b/>
          <w:bCs/>
          <w:sz w:val="22"/>
          <w:szCs w:val="22"/>
        </w:rPr>
        <w:t xml:space="preserve"> Claims as </w:t>
      </w:r>
      <w:r w:rsidR="00C8757A">
        <w:rPr>
          <w:b/>
          <w:bCs/>
          <w:sz w:val="22"/>
          <w:szCs w:val="22"/>
        </w:rPr>
        <w:t xml:space="preserve">% </w:t>
      </w:r>
      <w:r w:rsidRPr="0049630D">
        <w:rPr>
          <w:b/>
          <w:bCs/>
          <w:sz w:val="22"/>
          <w:szCs w:val="22"/>
        </w:rPr>
        <w:t>of Total Inquiries</w:t>
      </w:r>
    </w:p>
    <w:p w14:paraId="180A942A" w14:textId="7B177F49" w:rsidR="0049630D" w:rsidRDefault="0049630D" w:rsidP="00390EB8">
      <w:pPr>
        <w:tabs>
          <w:tab w:val="left" w:pos="540"/>
          <w:tab w:val="left" w:pos="720"/>
        </w:tabs>
        <w:ind w:left="540" w:right="270"/>
        <w:jc w:val="both"/>
        <w:rPr>
          <w:sz w:val="19"/>
          <w:szCs w:val="19"/>
        </w:rPr>
      </w:pPr>
      <w:r w:rsidRPr="00C8757A">
        <w:rPr>
          <w:sz w:val="19"/>
          <w:szCs w:val="19"/>
        </w:rPr>
        <w:t xml:space="preserve">Bars show raw volume of inquiries, units on Left Axis. Lines show the % of total inquiries for which a protected class </w:t>
      </w:r>
      <w:r w:rsidR="00C8757A" w:rsidRPr="00C8757A">
        <w:rPr>
          <w:sz w:val="19"/>
          <w:szCs w:val="19"/>
        </w:rPr>
        <w:t>was identified (orange line), and that led to a claim being filed (green line), units on right Axis.</w:t>
      </w:r>
    </w:p>
    <w:p w14:paraId="5DFBDCB7" w14:textId="77777777" w:rsidR="00C8757A" w:rsidRPr="00C8757A" w:rsidRDefault="00C8757A" w:rsidP="00C8757A">
      <w:pPr>
        <w:ind w:left="720"/>
        <w:jc w:val="both"/>
        <w:rPr>
          <w:sz w:val="19"/>
          <w:szCs w:val="19"/>
        </w:rPr>
      </w:pPr>
    </w:p>
    <w:p w14:paraId="0AEF6F69" w14:textId="0AABDB22" w:rsidR="0049630D" w:rsidRDefault="0049630D" w:rsidP="00390EB8">
      <w:pPr>
        <w:tabs>
          <w:tab w:val="left" w:pos="630"/>
          <w:tab w:val="left" w:pos="9180"/>
        </w:tabs>
        <w:spacing w:line="480" w:lineRule="auto"/>
        <w:jc w:val="center"/>
      </w:pPr>
      <w:r>
        <w:rPr>
          <w:noProof/>
        </w:rPr>
        <w:drawing>
          <wp:inline distT="0" distB="0" distL="0" distR="0" wp14:anchorId="7E0258E0" wp14:editId="12528D0B">
            <wp:extent cx="5503560" cy="2851150"/>
            <wp:effectExtent l="0" t="0" r="1905" b="6350"/>
            <wp:docPr id="120809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9673" name=""/>
                    <pic:cNvPicPr/>
                  </pic:nvPicPr>
                  <pic:blipFill>
                    <a:blip r:embed="rId13"/>
                    <a:stretch>
                      <a:fillRect/>
                    </a:stretch>
                  </pic:blipFill>
                  <pic:spPr>
                    <a:xfrm>
                      <a:off x="0" y="0"/>
                      <a:ext cx="5511506" cy="2855266"/>
                    </a:xfrm>
                    <a:prstGeom prst="rect">
                      <a:avLst/>
                    </a:prstGeom>
                  </pic:spPr>
                </pic:pic>
              </a:graphicData>
            </a:graphic>
          </wp:inline>
        </w:drawing>
      </w:r>
    </w:p>
    <w:p w14:paraId="2E62E6C7" w14:textId="26B703BC" w:rsidR="00B666B8" w:rsidRDefault="00993945" w:rsidP="00B666B8">
      <w:pPr>
        <w:spacing w:line="480" w:lineRule="auto"/>
        <w:jc w:val="both"/>
      </w:pPr>
      <w:r>
        <w:t>Th</w:t>
      </w:r>
      <w:r w:rsidR="00FD69BC">
        <w:t>ese trends</w:t>
      </w:r>
      <w:r>
        <w:t xml:space="preserve"> </w:t>
      </w:r>
      <w:r w:rsidR="007F3EEE">
        <w:t xml:space="preserve">raise the question of whether </w:t>
      </w:r>
      <w:r>
        <w:t xml:space="preserve">all potential claims are being identified, </w:t>
      </w:r>
      <w:r w:rsidR="00FD69BC">
        <w:t xml:space="preserve">both generally and with respect to the FCA, </w:t>
      </w:r>
      <w:r>
        <w:t>especially given that overall inquiries to CCHR have more than doubled since 2016</w:t>
      </w:r>
      <w:r w:rsidR="00FD69BC">
        <w:t xml:space="preserve"> while </w:t>
      </w:r>
      <w:r>
        <w:t>CCHR’s staffing levels fell by 30 percent</w:t>
      </w:r>
      <w:r w:rsidR="008E3E34">
        <w:t>.</w:t>
      </w:r>
      <w:r w:rsidRPr="00DB391C">
        <w:rPr>
          <w:rStyle w:val="FootnoteReference"/>
        </w:rPr>
        <w:footnoteReference w:id="91"/>
      </w:r>
      <w:r w:rsidRPr="00DB391C">
        <w:t xml:space="preserve"> </w:t>
      </w:r>
      <w:r>
        <w:t>These staff reductions</w:t>
      </w:r>
      <w:r w:rsidR="008E3E34">
        <w:t xml:space="preserve">, </w:t>
      </w:r>
      <w:r w:rsidR="008E3E34">
        <w:lastRenderedPageBreak/>
        <w:t xml:space="preserve">which occurred under the Adams Administration’s </w:t>
      </w:r>
      <w:r w:rsidR="008E3E34" w:rsidRPr="00DB391C">
        <w:t>hiring restrictions</w:t>
      </w:r>
      <w:r w:rsidR="008E3E34">
        <w:t>,</w:t>
      </w:r>
      <w:r>
        <w:t xml:space="preserve"> mean that </w:t>
      </w:r>
      <w:r w:rsidR="00355A44">
        <w:t>CCHR’s Infoline</w:t>
      </w:r>
      <w:r w:rsidR="00FD69BC">
        <w:t xml:space="preserve"> staffers</w:t>
      </w:r>
      <w:r w:rsidR="00355A44">
        <w:t xml:space="preserve"> </w:t>
      </w:r>
      <w:r>
        <w:t>field</w:t>
      </w:r>
      <w:r w:rsidR="008E3E34">
        <w:t>ed</w:t>
      </w:r>
      <w:r>
        <w:t xml:space="preserve"> an average of nearly 2,000 inquiries </w:t>
      </w:r>
      <w:r w:rsidR="00FD69BC">
        <w:t>per person</w:t>
      </w:r>
      <w:r>
        <w:rPr>
          <w:i/>
          <w:iCs/>
        </w:rPr>
        <w:t xml:space="preserve"> </w:t>
      </w:r>
      <w:r w:rsidR="008E3E34">
        <w:t>in 2025</w:t>
      </w:r>
      <w:r>
        <w:t>, whereas in 2016, each Specialist was responsible for, on average, 926 inquiries annually.</w:t>
      </w:r>
      <w:r>
        <w:rPr>
          <w:rStyle w:val="FootnoteReference"/>
        </w:rPr>
        <w:footnoteReference w:id="92"/>
      </w:r>
      <w:r>
        <w:t xml:space="preserve"> </w:t>
      </w:r>
      <w:r w:rsidR="008E3E34">
        <w:t xml:space="preserve">The number of attorneys at the agency </w:t>
      </w:r>
      <w:r>
        <w:t xml:space="preserve">fell by </w:t>
      </w:r>
      <w:r w:rsidR="00645028">
        <w:t xml:space="preserve">nearly </w:t>
      </w:r>
      <w:r w:rsidR="005D3554">
        <w:t>a third</w:t>
      </w:r>
      <w:r>
        <w:t xml:space="preserve">, from 34 to 24 attorneys, alongside cuts to </w:t>
      </w:r>
      <w:r w:rsidR="002B646A">
        <w:t>other legal and community relations</w:t>
      </w:r>
      <w:r>
        <w:t xml:space="preserve"> staff that support the processing and resolution of discrimination complaints.</w:t>
      </w:r>
      <w:r>
        <w:rPr>
          <w:rStyle w:val="FootnoteReference"/>
        </w:rPr>
        <w:footnoteReference w:id="93"/>
      </w:r>
      <w:r w:rsidR="00B666B8">
        <w:t xml:space="preserve"> </w:t>
      </w:r>
    </w:p>
    <w:p w14:paraId="5F80440F" w14:textId="3BE14092" w:rsidR="00993945" w:rsidRDefault="00595E2D" w:rsidP="00390EB8">
      <w:pPr>
        <w:spacing w:line="480" w:lineRule="auto"/>
        <w:jc w:val="center"/>
      </w:pPr>
      <w:r w:rsidRPr="00390EB8">
        <w:rPr>
          <w:b/>
          <w:bCs/>
          <w:sz w:val="22"/>
          <w:szCs w:val="22"/>
        </w:rPr>
        <w:t>Fair Chance Employment (FCE) Volume Funnel: Inquiries to Claims</w:t>
      </w:r>
      <w:r w:rsidR="00B666B8" w:rsidRPr="00390EB8">
        <w:rPr>
          <w:sz w:val="22"/>
          <w:szCs w:val="22"/>
        </w:rPr>
        <w:br/>
      </w:r>
      <w:r w:rsidR="00B666B8">
        <w:rPr>
          <w:noProof/>
        </w:rPr>
        <w:drawing>
          <wp:inline distT="0" distB="0" distL="0" distR="0" wp14:anchorId="12B0DF41" wp14:editId="4C543AD5">
            <wp:extent cx="5592393" cy="2901950"/>
            <wp:effectExtent l="0" t="0" r="8890" b="0"/>
            <wp:docPr id="294109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09344" name=""/>
                    <pic:cNvPicPr/>
                  </pic:nvPicPr>
                  <pic:blipFill>
                    <a:blip r:embed="rId14"/>
                    <a:stretch>
                      <a:fillRect/>
                    </a:stretch>
                  </pic:blipFill>
                  <pic:spPr>
                    <a:xfrm>
                      <a:off x="0" y="0"/>
                      <a:ext cx="5602228" cy="2907053"/>
                    </a:xfrm>
                    <a:prstGeom prst="rect">
                      <a:avLst/>
                    </a:prstGeom>
                  </pic:spPr>
                </pic:pic>
              </a:graphicData>
            </a:graphic>
          </wp:inline>
        </w:drawing>
      </w:r>
    </w:p>
    <w:p w14:paraId="56BFE0C5" w14:textId="05BF460C" w:rsidR="00993945" w:rsidRDefault="00993945" w:rsidP="00993945">
      <w:pPr>
        <w:spacing w:line="480" w:lineRule="auto"/>
        <w:ind w:firstLine="720"/>
        <w:jc w:val="both"/>
        <w:rPr>
          <w:b/>
          <w:bCs/>
        </w:rPr>
      </w:pPr>
      <w:r>
        <w:t xml:space="preserve">Fluctuations in testing rates for </w:t>
      </w:r>
      <w:r w:rsidR="00B666B8">
        <w:t>FCA</w:t>
      </w:r>
      <w:r w:rsidRPr="00BD34C6">
        <w:t xml:space="preserve"> Employment violations </w:t>
      </w:r>
      <w:r w:rsidR="00FD69BC">
        <w:t>also</w:t>
      </w:r>
      <w:r w:rsidRPr="00BD34C6">
        <w:t xml:space="preserve"> </w:t>
      </w:r>
      <w:r w:rsidR="00FD69BC">
        <w:t xml:space="preserve">underscore </w:t>
      </w:r>
      <w:r w:rsidRPr="00BD34C6">
        <w:t xml:space="preserve">the importance of </w:t>
      </w:r>
      <w:r w:rsidR="00FD69BC">
        <w:t xml:space="preserve">proactive agency </w:t>
      </w:r>
      <w:r w:rsidRPr="00BD34C6">
        <w:t>enforcement</w:t>
      </w:r>
      <w:r w:rsidR="00FD69BC">
        <w:t xml:space="preserve"> efforts</w:t>
      </w:r>
      <w:r w:rsidRPr="00BD34C6">
        <w:t>.</w:t>
      </w:r>
      <w:r>
        <w:rPr>
          <w:b/>
          <w:bCs/>
        </w:rPr>
        <w:t xml:space="preserve"> </w:t>
      </w:r>
      <w:r>
        <w:t>Commission-initiated complaints are particularly critical to enforcement of Fair Chance laws due to the pervasiveness of such discrimination, persistent underreporting,</w:t>
      </w:r>
      <w:r w:rsidR="00355A44">
        <w:t xml:space="preserve"> and the limited ability of affected individuals to pursue </w:t>
      </w:r>
      <w:r w:rsidR="00355A44">
        <w:lastRenderedPageBreak/>
        <w:t>litigation independently.</w:t>
      </w:r>
      <w:r>
        <w:rPr>
          <w:rStyle w:val="FootnoteReference"/>
        </w:rPr>
        <w:footnoteReference w:id="94"/>
      </w:r>
      <w:r>
        <w:t xml:space="preserve"> </w:t>
      </w:r>
      <w:r w:rsidRPr="00BD34C6">
        <w:t xml:space="preserve">In </w:t>
      </w:r>
      <w:r>
        <w:t>FY 2024</w:t>
      </w:r>
      <w:r w:rsidRPr="00BD34C6">
        <w:t>, CCHR’s testing for Fair Chance protections dropped dramatically before rebounding in FY 2025. In FY 2024, in contrast</w:t>
      </w:r>
      <w:r>
        <w:t xml:space="preserve"> to previous and subsequent years when Fair Chance Employment tests represented the bulk of employment-related tests</w:t>
      </w:r>
      <w:r w:rsidRPr="00BD34C6">
        <w:t>,</w:t>
      </w:r>
      <w:r w:rsidRPr="00BD34C6">
        <w:rPr>
          <w:rStyle w:val="FootnoteReference"/>
        </w:rPr>
        <w:footnoteReference w:id="95"/>
      </w:r>
      <w:r w:rsidRPr="00BD34C6">
        <w:t xml:space="preserve"> </w:t>
      </w:r>
      <w:r>
        <w:t xml:space="preserve">only </w:t>
      </w:r>
      <w:r w:rsidRPr="00BD34C6">
        <w:t>38 tests each were conducted for discrimination on the basis of arrest and conviction record, respectively, representing just under 6 percent of total tests conducted.</w:t>
      </w:r>
      <w:r w:rsidRPr="00BD34C6">
        <w:rPr>
          <w:rStyle w:val="FootnoteReference"/>
        </w:rPr>
        <w:footnoteReference w:id="96"/>
      </w:r>
      <w:r w:rsidRPr="00BD34C6">
        <w:t xml:space="preserve"> In FY 2025, these numbers </w:t>
      </w:r>
      <w:r>
        <w:t xml:space="preserve">returned roughly to historical levels, with 231 tests conducted for </w:t>
      </w:r>
      <w:r w:rsidR="00595E2D">
        <w:t>FCA E</w:t>
      </w:r>
      <w:r>
        <w:t xml:space="preserve">mployment </w:t>
      </w:r>
      <w:r w:rsidR="00595E2D">
        <w:t>violations</w:t>
      </w:r>
      <w:r>
        <w:t>, representing about 20 percent of tests that year</w:t>
      </w:r>
      <w:r w:rsidRPr="00BD34C6">
        <w:t>.</w:t>
      </w:r>
      <w:r>
        <w:rPr>
          <w:rStyle w:val="FootnoteReference"/>
        </w:rPr>
        <w:footnoteReference w:id="97"/>
      </w:r>
      <w:r w:rsidRPr="00BD34C6">
        <w:t xml:space="preserve"> </w:t>
      </w:r>
      <w:r>
        <w:t xml:space="preserve">The effect on </w:t>
      </w:r>
      <w:r w:rsidR="00595E2D">
        <w:t xml:space="preserve">FCA </w:t>
      </w:r>
      <w:r w:rsidRPr="00BD34C6">
        <w:t xml:space="preserve">Employment </w:t>
      </w:r>
      <w:r>
        <w:t>enforcement was immediate:</w:t>
      </w:r>
      <w:r w:rsidRPr="00BD34C6">
        <w:t xml:space="preserve"> in FY</w:t>
      </w:r>
      <w:r>
        <w:t xml:space="preserve"> 20</w:t>
      </w:r>
      <w:r w:rsidRPr="00BD34C6">
        <w:t xml:space="preserve">24, </w:t>
      </w:r>
      <w:r>
        <w:t>CCHR reported a</w:t>
      </w:r>
      <w:r w:rsidRPr="00BD34C6">
        <w:t xml:space="preserve"> 22 percent </w:t>
      </w:r>
      <w:r>
        <w:t xml:space="preserve">overall drop in </w:t>
      </w:r>
      <w:r w:rsidRPr="00BD34C6">
        <w:t xml:space="preserve">total </w:t>
      </w:r>
      <w:r>
        <w:t xml:space="preserve">Fair Chance </w:t>
      </w:r>
      <w:r w:rsidRPr="00BD34C6">
        <w:t>claims</w:t>
      </w:r>
      <w:r>
        <w:t xml:space="preserve"> filed as complaints,</w:t>
      </w:r>
      <w:r w:rsidRPr="00BD34C6">
        <w:t xml:space="preserve"> and </w:t>
      </w:r>
      <w:r>
        <w:t xml:space="preserve">a </w:t>
      </w:r>
      <w:r w:rsidRPr="00BD34C6">
        <w:t xml:space="preserve">66 percent </w:t>
      </w:r>
      <w:r>
        <w:t xml:space="preserve">drop in </w:t>
      </w:r>
      <w:r w:rsidRPr="00BD34C6">
        <w:t xml:space="preserve">Commission-initiated complaints when compared with FY 2025 </w:t>
      </w:r>
      <w:r>
        <w:t>numbers</w:t>
      </w:r>
      <w:r w:rsidRPr="00BD34C6">
        <w:t>.</w:t>
      </w:r>
      <w:r w:rsidRPr="00BD34C6">
        <w:rPr>
          <w:rStyle w:val="FootnoteReference"/>
        </w:rPr>
        <w:footnoteReference w:id="98"/>
      </w:r>
      <w:r w:rsidRPr="00BD34C6">
        <w:t xml:space="preserve"> </w:t>
      </w:r>
    </w:p>
    <w:p w14:paraId="4B92E88F" w14:textId="5E1697BA" w:rsidR="12847D43" w:rsidRDefault="00993945" w:rsidP="00993945">
      <w:pPr>
        <w:spacing w:line="480" w:lineRule="auto"/>
        <w:ind w:firstLine="720"/>
        <w:jc w:val="both"/>
      </w:pPr>
      <w:r>
        <w:t xml:space="preserve">Despite overall </w:t>
      </w:r>
      <w:r w:rsidR="00074452">
        <w:t xml:space="preserve">drops in </w:t>
      </w:r>
      <w:r>
        <w:t>enforcement</w:t>
      </w:r>
      <w:r w:rsidR="00074452">
        <w:t xml:space="preserve"> numbers</w:t>
      </w:r>
      <w:r>
        <w:t xml:space="preserve">, a selection of </w:t>
      </w:r>
      <w:r w:rsidR="00074452">
        <w:t xml:space="preserve">CCHR’s </w:t>
      </w:r>
      <w:r>
        <w:t xml:space="preserve">wins </w:t>
      </w:r>
      <w:proofErr w:type="gramStart"/>
      <w:r w:rsidR="00074452">
        <w:t>are</w:t>
      </w:r>
      <w:proofErr w:type="gramEnd"/>
      <w:r w:rsidR="00074452">
        <w:t xml:space="preserve"> available </w:t>
      </w:r>
      <w:r>
        <w:t>on its website</w:t>
      </w:r>
      <w:r w:rsidR="00074452">
        <w:t>. These show</w:t>
      </w:r>
      <w:r>
        <w:t xml:space="preserve"> fines collected by the </w:t>
      </w:r>
      <w:proofErr w:type="gramStart"/>
      <w:r>
        <w:t>City</w:t>
      </w:r>
      <w:proofErr w:type="gramEnd"/>
      <w:r>
        <w:t xml:space="preserve"> and compensation awarded to individuals who experienced discrimination. </w:t>
      </w:r>
      <w:r w:rsidRPr="00BC4274">
        <w:t>In FY 2024, CCHR imposed $90</w:t>
      </w:r>
      <w:r w:rsidR="00DA57BC">
        <w:t>,000</w:t>
      </w:r>
      <w:r w:rsidRPr="00BC4274">
        <w:t xml:space="preserve"> in fines on The GEO Group for a series of </w:t>
      </w:r>
      <w:r w:rsidRPr="00BC4274">
        <w:rPr>
          <w:i/>
          <w:iCs/>
        </w:rPr>
        <w:t>per se </w:t>
      </w:r>
      <w:r w:rsidRPr="00BC4274">
        <w:t>violations of the Fair Chance in Employment law</w:t>
      </w:r>
      <w:r>
        <w:t>,</w:t>
      </w:r>
      <w:r w:rsidRPr="00686690">
        <w:t xml:space="preserve"> </w:t>
      </w:r>
      <w:r>
        <w:t xml:space="preserve">and settled two other cases, against Montefiore Medical Center for </w:t>
      </w:r>
      <w:r w:rsidR="00DD16A1">
        <w:t xml:space="preserve">damages and penalties totaling </w:t>
      </w:r>
      <w:r>
        <w:t>$185 thousand</w:t>
      </w:r>
      <w:r w:rsidR="00DD16A1">
        <w:t>,</w:t>
      </w:r>
      <w:r>
        <w:t xml:space="preserve"> and against </w:t>
      </w:r>
      <w:r>
        <w:lastRenderedPageBreak/>
        <w:t>an unnamed employer for $70</w:t>
      </w:r>
      <w:r w:rsidR="00A40FA8">
        <w:t>,000</w:t>
      </w:r>
      <w:r>
        <w:t xml:space="preserve">; all three employers also agreed to train employees on </w:t>
      </w:r>
      <w:r w:rsidR="001F2558">
        <w:t xml:space="preserve">FCA </w:t>
      </w:r>
      <w:r>
        <w:t>requirements.</w:t>
      </w:r>
      <w:r>
        <w:rPr>
          <w:rStyle w:val="FootnoteReference"/>
        </w:rPr>
        <w:footnoteReference w:id="99"/>
      </w:r>
      <w:r>
        <w:t xml:space="preserve"> In 2025, CCHR settled a case against FedEx for criminal history discrimination in hiring processes and workplace treatment, resulting in </w:t>
      </w:r>
      <w:r w:rsidRPr="00D873E6">
        <w:t>$104,000 in civil penalties</w:t>
      </w:r>
      <w:r>
        <w:t xml:space="preserve"> and thousands of dollars paid in damages to each of </w:t>
      </w:r>
      <w:r w:rsidR="00A40FA8">
        <w:t xml:space="preserve">six </w:t>
      </w:r>
      <w:r>
        <w:t>complainants.</w:t>
      </w:r>
      <w:r>
        <w:rPr>
          <w:rStyle w:val="FootnoteReference"/>
        </w:rPr>
        <w:footnoteReference w:id="100"/>
      </w:r>
    </w:p>
    <w:p w14:paraId="26E1639B" w14:textId="18938A2C" w:rsidR="67759A4D" w:rsidRPr="002A2AF6" w:rsidRDefault="7DBFCDA3" w:rsidP="72B3D223">
      <w:pPr>
        <w:pStyle w:val="ListParagraph"/>
        <w:numPr>
          <w:ilvl w:val="0"/>
          <w:numId w:val="1"/>
        </w:numPr>
        <w:spacing w:line="480" w:lineRule="auto"/>
        <w:jc w:val="both"/>
        <w:rPr>
          <w:i/>
          <w:iCs/>
        </w:rPr>
      </w:pPr>
      <w:r w:rsidRPr="72B3D223">
        <w:rPr>
          <w:i/>
          <w:iCs/>
        </w:rPr>
        <w:t>Fair Chance in Housing rollout</w:t>
      </w:r>
    </w:p>
    <w:p w14:paraId="120D297E" w14:textId="6238DD56" w:rsidR="00074452" w:rsidRDefault="00040EA7" w:rsidP="00040EA7">
      <w:pPr>
        <w:spacing w:line="480" w:lineRule="auto"/>
        <w:ind w:firstLine="720"/>
        <w:jc w:val="both"/>
      </w:pPr>
      <w:r>
        <w:t xml:space="preserve">The </w:t>
      </w:r>
      <w:r w:rsidR="00314A9A">
        <w:t xml:space="preserve">FCA </w:t>
      </w:r>
      <w:r>
        <w:t>Housing law came into effect in January 2025, with CCHR’s support.</w:t>
      </w:r>
      <w:r>
        <w:rPr>
          <w:rStyle w:val="FootnoteReference"/>
        </w:rPr>
        <w:footnoteReference w:id="101"/>
      </w:r>
      <w:r>
        <w:t xml:space="preserve"> </w:t>
      </w:r>
      <w:r w:rsidR="00314A9A">
        <w:t xml:space="preserve">In </w:t>
      </w:r>
      <w:r w:rsidR="00074452">
        <w:t xml:space="preserve">2025, </w:t>
      </w:r>
      <w:r>
        <w:t xml:space="preserve">CCHR conducted </w:t>
      </w:r>
      <w:r w:rsidRPr="00082E05">
        <w:t xml:space="preserve">a </w:t>
      </w:r>
      <w:r>
        <w:t xml:space="preserve">publicity </w:t>
      </w:r>
      <w:r w:rsidRPr="00082E05">
        <w:t>campaign to reach tenants, landlords, and housing providers, developed new training</w:t>
      </w:r>
      <w:r w:rsidR="00325BB5">
        <w:t xml:space="preserve"> materials</w:t>
      </w:r>
      <w:r w:rsidRPr="00082E05">
        <w:t>, and collaborat</w:t>
      </w:r>
      <w:r>
        <w:t>ed</w:t>
      </w:r>
      <w:r w:rsidRPr="00082E05">
        <w:t xml:space="preserve"> with advocates.</w:t>
      </w:r>
      <w:r>
        <w:rPr>
          <w:rStyle w:val="FootnoteReference"/>
        </w:rPr>
        <w:footnoteReference w:id="102"/>
      </w:r>
      <w:r>
        <w:t xml:space="preserve"> CCHR partnered</w:t>
      </w:r>
      <w:r w:rsidRPr="001E2EFE">
        <w:t xml:space="preserve"> with </w:t>
      </w:r>
      <w:r>
        <w:t>a handful of community groups,</w:t>
      </w:r>
      <w:r>
        <w:rPr>
          <w:rStyle w:val="FootnoteReference"/>
        </w:rPr>
        <w:footnoteReference w:id="103"/>
      </w:r>
      <w:r>
        <w:t xml:space="preserve"> older adult centers, and houses of worship </w:t>
      </w:r>
      <w:r w:rsidRPr="001E2EFE">
        <w:t xml:space="preserve">to provide workshops, seminars, and resource fairs </w:t>
      </w:r>
      <w:r>
        <w:t xml:space="preserve">covering </w:t>
      </w:r>
      <w:r w:rsidR="00314A9A">
        <w:t xml:space="preserve">FCA </w:t>
      </w:r>
      <w:r w:rsidRPr="001E2EFE">
        <w:t>Housing, Source of Income protections, and tenants’ rights</w:t>
      </w:r>
      <w:r>
        <w:t xml:space="preserve">. CCHR also partnered with </w:t>
      </w:r>
      <w:r w:rsidRPr="001E2EFE">
        <w:t>the Department of Housing Preservation and Development</w:t>
      </w:r>
      <w:r>
        <w:t xml:space="preserve"> (HPD) to ensure that their “Where We Live” trainings include information for landlords, developers, and agents</w:t>
      </w:r>
      <w:r w:rsidRPr="001E2EFE">
        <w:t xml:space="preserve"> on their obligations under the Human Rights Law.</w:t>
      </w:r>
      <w:r>
        <w:rPr>
          <w:rStyle w:val="FootnoteReference"/>
        </w:rPr>
        <w:footnoteReference w:id="104"/>
      </w:r>
      <w:r w:rsidRPr="001E2EFE">
        <w:t xml:space="preserve"> </w:t>
      </w:r>
    </w:p>
    <w:p w14:paraId="72503914" w14:textId="78D7262D" w:rsidR="00040EA7" w:rsidRDefault="00040EA7" w:rsidP="00040EA7">
      <w:pPr>
        <w:spacing w:line="480" w:lineRule="auto"/>
        <w:ind w:firstLine="720"/>
        <w:jc w:val="both"/>
      </w:pPr>
      <w:r>
        <w:lastRenderedPageBreak/>
        <w:t xml:space="preserve">Compared to the </w:t>
      </w:r>
      <w:r w:rsidR="00314A9A">
        <w:t>FCA</w:t>
      </w:r>
      <w:r>
        <w:t xml:space="preserve"> Employment rollout, however,</w:t>
      </w:r>
      <w:r>
        <w:rPr>
          <w:rStyle w:val="FootnoteReference"/>
        </w:rPr>
        <w:footnoteReference w:id="105"/>
      </w:r>
      <w:r>
        <w:t xml:space="preserve"> </w:t>
      </w:r>
      <w:r w:rsidR="00074452">
        <w:t xml:space="preserve">CCHR’s </w:t>
      </w:r>
      <w:r>
        <w:t xml:space="preserve">activities were limited. For example, while CCHR </w:t>
      </w:r>
      <w:r w:rsidR="00074452">
        <w:t xml:space="preserve">published </w:t>
      </w:r>
      <w:r w:rsidRPr="000D6319">
        <w:t>a Notice of Rights form</w:t>
      </w:r>
      <w:r>
        <w:rPr>
          <w:rStyle w:val="FootnoteReference"/>
        </w:rPr>
        <w:footnoteReference w:id="106"/>
      </w:r>
      <w:r>
        <w:t xml:space="preserve"> and a poster,</w:t>
      </w:r>
      <w:r>
        <w:rPr>
          <w:rStyle w:val="FootnoteReference"/>
        </w:rPr>
        <w:footnoteReference w:id="107"/>
      </w:r>
      <w:r>
        <w:t xml:space="preserve"> many </w:t>
      </w:r>
      <w:r w:rsidR="00074452">
        <w:t xml:space="preserve">of the other </w:t>
      </w:r>
      <w:r>
        <w:t xml:space="preserve">informational materials </w:t>
      </w:r>
      <w:r w:rsidR="00074452">
        <w:t xml:space="preserve">developed </w:t>
      </w:r>
      <w:r>
        <w:t xml:space="preserve">for </w:t>
      </w:r>
      <w:r w:rsidR="00314A9A">
        <w:t xml:space="preserve">FCA </w:t>
      </w:r>
      <w:r>
        <w:t xml:space="preserve">Employment </w:t>
      </w:r>
      <w:r w:rsidR="00314A9A">
        <w:t xml:space="preserve">protections </w:t>
      </w:r>
      <w:r w:rsidR="00325BB5">
        <w:t xml:space="preserve">do not exist </w:t>
      </w:r>
      <w:r>
        <w:t>for housing.</w:t>
      </w:r>
      <w:r>
        <w:rPr>
          <w:rStyle w:val="FootnoteReference"/>
        </w:rPr>
        <w:footnoteReference w:id="108"/>
      </w:r>
      <w:r>
        <w:t xml:space="preserve"> CCHR</w:t>
      </w:r>
      <w:r w:rsidR="0013785A">
        <w:t xml:space="preserve">’s </w:t>
      </w:r>
      <w:r>
        <w:t xml:space="preserve">training on </w:t>
      </w:r>
      <w:r w:rsidR="00314A9A">
        <w:t xml:space="preserve">FCA </w:t>
      </w:r>
      <w:r>
        <w:t>Housing protections</w:t>
      </w:r>
      <w:r w:rsidR="0013785A">
        <w:t xml:space="preserve"> is</w:t>
      </w:r>
      <w:r>
        <w:t xml:space="preserve"> </w:t>
      </w:r>
      <w:r w:rsidR="00074452">
        <w:t>offer</w:t>
      </w:r>
      <w:r w:rsidR="0013785A">
        <w:t>ed</w:t>
      </w:r>
      <w:r w:rsidR="00074452">
        <w:t xml:space="preserve"> </w:t>
      </w:r>
      <w:r>
        <w:t>by request</w:t>
      </w:r>
      <w:r w:rsidR="0013785A">
        <w:t>, and CCHR did not report the number of people who received FCA housing trainings</w:t>
      </w:r>
      <w:r w:rsidR="00074452">
        <w:t>.</w:t>
      </w:r>
      <w:r>
        <w:rPr>
          <w:rStyle w:val="FootnoteReference"/>
        </w:rPr>
        <w:footnoteReference w:id="109"/>
      </w:r>
      <w:r>
        <w:t xml:space="preserve"> CCHR </w:t>
      </w:r>
      <w:r w:rsidR="00325BB5">
        <w:t xml:space="preserve">also </w:t>
      </w:r>
      <w:r>
        <w:t xml:space="preserve">has not </w:t>
      </w:r>
      <w:r w:rsidR="00325BB5">
        <w:t xml:space="preserve">published </w:t>
      </w:r>
      <w:r>
        <w:t xml:space="preserve">any </w:t>
      </w:r>
      <w:r w:rsidR="00325BB5">
        <w:t xml:space="preserve">plans for relevant </w:t>
      </w:r>
      <w:r w:rsidR="00074452">
        <w:t xml:space="preserve">public </w:t>
      </w:r>
      <w:r>
        <w:t xml:space="preserve">rulemaking </w:t>
      </w:r>
      <w:r w:rsidR="00074452">
        <w:t>as of April 2026</w:t>
      </w:r>
      <w:r>
        <w:t>,</w:t>
      </w:r>
      <w:r w:rsidR="00325BB5">
        <w:rPr>
          <w:rStyle w:val="FootnoteReference"/>
        </w:rPr>
        <w:footnoteReference w:id="110"/>
      </w:r>
      <w:r>
        <w:t xml:space="preserve"> </w:t>
      </w:r>
      <w:r w:rsidR="0013785A">
        <w:t xml:space="preserve">which means that </w:t>
      </w:r>
      <w:r>
        <w:t xml:space="preserve">no </w:t>
      </w:r>
      <w:r w:rsidR="0013785A">
        <w:t xml:space="preserve">standardized form or </w:t>
      </w:r>
      <w:r>
        <w:t xml:space="preserve">expedited enforcement process has been published, as </w:t>
      </w:r>
      <w:r w:rsidR="0013785A">
        <w:t xml:space="preserve">had already been done for FCA </w:t>
      </w:r>
      <w:r>
        <w:t>Employment</w:t>
      </w:r>
      <w:r w:rsidR="0013785A">
        <w:t xml:space="preserve"> prior to its coming into effect</w:t>
      </w:r>
      <w:r>
        <w:t xml:space="preserve">. The results are stark: in </w:t>
      </w:r>
      <w:r w:rsidR="0013785A">
        <w:t xml:space="preserve">the </w:t>
      </w:r>
      <w:r>
        <w:t xml:space="preserve">first year of </w:t>
      </w:r>
      <w:r w:rsidR="0013785A">
        <w:t xml:space="preserve">FCA Housing </w:t>
      </w:r>
      <w:r>
        <w:t xml:space="preserve">coming into effect, </w:t>
      </w:r>
      <w:r w:rsidR="0013785A">
        <w:t xml:space="preserve">CCHR recorded </w:t>
      </w:r>
      <w:r>
        <w:t xml:space="preserve">no </w:t>
      </w:r>
      <w:r w:rsidR="0013785A">
        <w:t xml:space="preserve">related </w:t>
      </w:r>
      <w:r>
        <w:t xml:space="preserve">inquiries, </w:t>
      </w:r>
      <w:r w:rsidR="0013785A">
        <w:t xml:space="preserve">initiated </w:t>
      </w:r>
      <w:r>
        <w:t>no claims (whether on behalf of the Commission or an individual)</w:t>
      </w:r>
      <w:r w:rsidR="0013785A">
        <w:t>,</w:t>
      </w:r>
      <w:r>
        <w:t xml:space="preserve"> and </w:t>
      </w:r>
      <w:r w:rsidR="0013785A">
        <w:t xml:space="preserve">conducted </w:t>
      </w:r>
      <w:r>
        <w:t xml:space="preserve">no </w:t>
      </w:r>
      <w:r w:rsidR="0013785A">
        <w:t xml:space="preserve">FCA Housing </w:t>
      </w:r>
      <w:r>
        <w:t>compliance tests.</w:t>
      </w:r>
      <w:r>
        <w:rPr>
          <w:rStyle w:val="FootnoteReference"/>
        </w:rPr>
        <w:footnoteReference w:id="111"/>
      </w:r>
      <w:r>
        <w:t xml:space="preserve"> The Committee received </w:t>
      </w:r>
      <w:r w:rsidR="00325BB5">
        <w:t xml:space="preserve">public </w:t>
      </w:r>
      <w:r>
        <w:t xml:space="preserve">testimony that as of March 2026, nearly two and a half years after the law was enacted and one and a half years after coming into effect, CCHR has not filed any complaints to enforce </w:t>
      </w:r>
      <w:r w:rsidR="0013785A">
        <w:t xml:space="preserve">FCA </w:t>
      </w:r>
      <w:r>
        <w:t xml:space="preserve">Housing </w:t>
      </w:r>
      <w:r w:rsidR="0013785A">
        <w:t>protections</w:t>
      </w:r>
      <w:r>
        <w:t>, despite community organizations report</w:t>
      </w:r>
      <w:r w:rsidR="00325BB5">
        <w:t>ing</w:t>
      </w:r>
      <w:r>
        <w:t xml:space="preserve"> widespread violations of the law.</w:t>
      </w:r>
      <w:r>
        <w:rPr>
          <w:rStyle w:val="FootnoteReference"/>
        </w:rPr>
        <w:footnoteReference w:id="112"/>
      </w:r>
    </w:p>
    <w:p w14:paraId="5C70E9B2" w14:textId="70E0964A" w:rsidR="002A2AF6" w:rsidRDefault="00040EA7" w:rsidP="00040EA7">
      <w:pPr>
        <w:spacing w:line="480" w:lineRule="auto"/>
        <w:ind w:firstLine="720"/>
        <w:jc w:val="both"/>
      </w:pPr>
      <w:r>
        <w:lastRenderedPageBreak/>
        <w:t xml:space="preserve">The differences between the implementation of the Fair Chance laws for employment and housing </w:t>
      </w:r>
      <w:r w:rsidR="00B876F5">
        <w:t xml:space="preserve">may in part </w:t>
      </w:r>
      <w:r w:rsidR="00325BB5">
        <w:t xml:space="preserve">stem from </w:t>
      </w:r>
      <w:r>
        <w:t xml:space="preserve">the </w:t>
      </w:r>
      <w:r w:rsidR="00325BB5">
        <w:t xml:space="preserve">same </w:t>
      </w:r>
      <w:r>
        <w:t xml:space="preserve">documented staffing and resource challenges that </w:t>
      </w:r>
      <w:r w:rsidR="00325BB5">
        <w:t xml:space="preserve">seem to have </w:t>
      </w:r>
      <w:r>
        <w:t xml:space="preserve">undermined Fair Chance Employment enforcement in recent years. </w:t>
      </w:r>
      <w:r w:rsidR="00B876F5">
        <w:t>FCA H</w:t>
      </w:r>
      <w:r>
        <w:t xml:space="preserve">ousing seems to have </w:t>
      </w:r>
      <w:r w:rsidR="00325BB5">
        <w:t xml:space="preserve">not </w:t>
      </w:r>
      <w:r>
        <w:t xml:space="preserve">received the </w:t>
      </w:r>
      <w:r w:rsidR="00325BB5">
        <w:t xml:space="preserve">necessary </w:t>
      </w:r>
      <w:r>
        <w:t>funding for implementation. Implementation costs for the Fair Chance in Housing law (L.L. 24 of 2024) were estimated at $700</w:t>
      </w:r>
      <w:r w:rsidR="00A40FA8">
        <w:t>,000</w:t>
      </w:r>
      <w:r>
        <w:t xml:space="preserve"> in FY 2025 and $1.4 million for every subsequent year, </w:t>
      </w:r>
      <w:r w:rsidR="00C70329">
        <w:t xml:space="preserve">due to the need to add </w:t>
      </w:r>
      <w:r>
        <w:t>10 new staff</w:t>
      </w:r>
      <w:r w:rsidR="00C70329">
        <w:t xml:space="preserve"> to enforce the law</w:t>
      </w:r>
      <w:r>
        <w:t>.</w:t>
      </w:r>
      <w:r>
        <w:rPr>
          <w:rStyle w:val="FootnoteReference"/>
        </w:rPr>
        <w:footnoteReference w:id="113"/>
      </w:r>
      <w:r>
        <w:t xml:space="preserve"> </w:t>
      </w:r>
      <w:r w:rsidR="00481205">
        <w:t xml:space="preserve">Estimated staffing </w:t>
      </w:r>
      <w:r>
        <w:t>need</w:t>
      </w:r>
      <w:r w:rsidR="00481205">
        <w:t xml:space="preserve">s </w:t>
      </w:r>
      <w:r>
        <w:t>reflect the typically high-urgency cases expected to arise</w:t>
      </w:r>
      <w:r w:rsidR="00325BB5">
        <w:t xml:space="preserve"> under the law</w:t>
      </w:r>
      <w:r w:rsidR="00481205">
        <w:t xml:space="preserve"> as well as </w:t>
      </w:r>
      <w:r w:rsidR="00325BB5">
        <w:t xml:space="preserve">the </w:t>
      </w:r>
      <w:r>
        <w:t xml:space="preserve">large </w:t>
      </w:r>
      <w:r w:rsidR="00325BB5">
        <w:t xml:space="preserve">size of the </w:t>
      </w:r>
      <w:r>
        <w:t xml:space="preserve">protected </w:t>
      </w:r>
      <w:r w:rsidR="00325BB5">
        <w:t>class</w:t>
      </w:r>
      <w:r>
        <w:t>: justice-involved New Yorkers account for approximately 11 percent of the adult population of New York City, or 750,000 people.</w:t>
      </w:r>
      <w:r>
        <w:rPr>
          <w:rStyle w:val="FootnoteReference"/>
        </w:rPr>
        <w:footnoteReference w:id="114"/>
      </w:r>
      <w:r>
        <w:t xml:space="preserve"> </w:t>
      </w:r>
      <w:r w:rsidR="00481205">
        <w:t>Nevertheless</w:t>
      </w:r>
      <w:r>
        <w:t>, staffing at CCHR continued to fall</w:t>
      </w:r>
      <w:r w:rsidR="00B876F5">
        <w:t xml:space="preserve"> throughout 2025</w:t>
      </w:r>
      <w:r>
        <w:t>,</w:t>
      </w:r>
      <w:r>
        <w:rPr>
          <w:rStyle w:val="FootnoteReference"/>
        </w:rPr>
        <w:footnoteReference w:id="115"/>
      </w:r>
      <w:r>
        <w:t xml:space="preserve"> </w:t>
      </w:r>
      <w:r w:rsidR="00481205">
        <w:t xml:space="preserve">and </w:t>
      </w:r>
      <w:r>
        <w:t xml:space="preserve">the FY 2027 Preliminary Budget proposal does not </w:t>
      </w:r>
      <w:r w:rsidR="00554548">
        <w:t xml:space="preserve">allocate </w:t>
      </w:r>
      <w:r>
        <w:t xml:space="preserve">any </w:t>
      </w:r>
      <w:r w:rsidR="00554548">
        <w:t xml:space="preserve">additional </w:t>
      </w:r>
      <w:r>
        <w:t>funds compared to previous years</w:t>
      </w:r>
      <w:r w:rsidR="00481205">
        <w:t>—</w:t>
      </w:r>
      <w:r>
        <w:t>indeed</w:t>
      </w:r>
      <w:r w:rsidR="00481205">
        <w:t>, it</w:t>
      </w:r>
      <w:r>
        <w:t xml:space="preserve"> projects future</w:t>
      </w:r>
      <w:r w:rsidR="00D258BE">
        <w:t xml:space="preserve"> budget and staffing</w:t>
      </w:r>
      <w:r>
        <w:t xml:space="preserve"> cuts.</w:t>
      </w:r>
      <w:r>
        <w:rPr>
          <w:rStyle w:val="FootnoteReference"/>
        </w:rPr>
        <w:footnoteReference w:id="116"/>
      </w:r>
      <w:r w:rsidR="00D05199">
        <w:t xml:space="preserve"> </w:t>
      </w:r>
      <w:r w:rsidR="00B876F5">
        <w:t>A</w:t>
      </w:r>
      <w:r w:rsidR="00D05199">
        <w:t xml:space="preserve">dequate funding </w:t>
      </w:r>
      <w:r w:rsidR="00B876F5">
        <w:t>w</w:t>
      </w:r>
      <w:r w:rsidR="00D05199">
        <w:t xml:space="preserve">ould </w:t>
      </w:r>
      <w:r w:rsidR="00D05199" w:rsidRPr="00D05199">
        <w:t xml:space="preserve">enable the Infoline to be staffed proportionate with incoming inquiries, </w:t>
      </w:r>
      <w:r w:rsidR="00D05199">
        <w:t xml:space="preserve">allow CCHR </w:t>
      </w:r>
      <w:r w:rsidR="00D05199" w:rsidRPr="00D05199">
        <w:t xml:space="preserve">to address urgent cases efficiently through pre-complaint intervention, and </w:t>
      </w:r>
      <w:r w:rsidR="00D05199">
        <w:t xml:space="preserve">support </w:t>
      </w:r>
      <w:r w:rsidR="00D05199" w:rsidRPr="00D05199">
        <w:t>investigatory and legal staff</w:t>
      </w:r>
      <w:r w:rsidR="00D05199">
        <w:t>ing</w:t>
      </w:r>
      <w:r w:rsidR="00D05199" w:rsidRPr="00D05199">
        <w:t xml:space="preserve"> </w:t>
      </w:r>
      <w:r w:rsidR="00D05199">
        <w:t xml:space="preserve">and, as needed, specialized teams </w:t>
      </w:r>
      <w:r w:rsidR="00D05199" w:rsidRPr="00D05199">
        <w:t>to address the true caseload of anti-discrimination cases</w:t>
      </w:r>
      <w:r w:rsidR="00D05199">
        <w:t xml:space="preserve"> under the Fair Chance Act alongside all Human Rights Law protections.</w:t>
      </w:r>
    </w:p>
    <w:p w14:paraId="0C61608C" w14:textId="77777777" w:rsidR="009F3B13" w:rsidRDefault="009F3B13" w:rsidP="00040EA7">
      <w:pPr>
        <w:spacing w:line="480" w:lineRule="auto"/>
        <w:ind w:firstLine="720"/>
        <w:jc w:val="both"/>
      </w:pPr>
    </w:p>
    <w:p w14:paraId="55C4F349" w14:textId="77777777" w:rsidR="002E2A50" w:rsidRDefault="67759A4D" w:rsidP="002E2A50">
      <w:pPr>
        <w:pStyle w:val="ListParagraph"/>
        <w:numPr>
          <w:ilvl w:val="0"/>
          <w:numId w:val="1"/>
        </w:numPr>
        <w:spacing w:line="480" w:lineRule="auto"/>
        <w:jc w:val="both"/>
        <w:rPr>
          <w:i/>
          <w:iCs/>
        </w:rPr>
      </w:pPr>
      <w:r w:rsidRPr="3C5767F7">
        <w:rPr>
          <w:i/>
          <w:iCs/>
        </w:rPr>
        <w:lastRenderedPageBreak/>
        <w:t>Failure to allocate adequate resources to urgent housing cases</w:t>
      </w:r>
    </w:p>
    <w:p w14:paraId="3AEA275B" w14:textId="4C016BD0" w:rsidR="00F00937" w:rsidRDefault="002E2A50" w:rsidP="00D277C9">
      <w:pPr>
        <w:spacing w:line="480" w:lineRule="auto"/>
        <w:ind w:firstLine="720"/>
        <w:jc w:val="both"/>
      </w:pPr>
      <w:r>
        <w:t>From July 2019 to March 2025, t</w:t>
      </w:r>
      <w:r w:rsidRPr="002E2A50">
        <w:t xml:space="preserve">he New York State Comptroller </w:t>
      </w:r>
      <w:r>
        <w:t xml:space="preserve">conducted an audit of </w:t>
      </w:r>
      <w:r w:rsidRPr="002E2A50">
        <w:t>CCHR</w:t>
      </w:r>
      <w:r>
        <w:t>’s</w:t>
      </w:r>
      <w:r w:rsidRPr="002E2A50">
        <w:t xml:space="preserve"> handl</w:t>
      </w:r>
      <w:r>
        <w:t>ing of</w:t>
      </w:r>
      <w:r w:rsidRPr="002E2A50">
        <w:t xml:space="preserve"> housing discrimination complaints</w:t>
      </w:r>
      <w:r>
        <w:t>, and whether they were processed</w:t>
      </w:r>
      <w:r w:rsidRPr="002E2A50">
        <w:t xml:space="preserve"> timely and in accordance with its policies.</w:t>
      </w:r>
      <w:r>
        <w:rPr>
          <w:rStyle w:val="FootnoteReference"/>
        </w:rPr>
        <w:footnoteReference w:id="117"/>
      </w:r>
      <w:r>
        <w:t xml:space="preserve"> </w:t>
      </w:r>
      <w:r w:rsidR="00A94E49">
        <w:t>The</w:t>
      </w:r>
      <w:r w:rsidR="00F00937">
        <w:t xml:space="preserve"> Comptroller’s </w:t>
      </w:r>
      <w:r w:rsidR="00A94E49">
        <w:t xml:space="preserve">findings </w:t>
      </w:r>
      <w:r w:rsidR="00390EB8">
        <w:t xml:space="preserve">provide additional context for understanding CCHR’s capacity to enforce the FCA Housing law as a subset of its </w:t>
      </w:r>
      <w:r w:rsidR="00A94E49">
        <w:t>housing</w:t>
      </w:r>
      <w:r w:rsidR="00390EB8">
        <w:t xml:space="preserve"> cases</w:t>
      </w:r>
      <w:r w:rsidR="00A94E49">
        <w:t xml:space="preserve">. </w:t>
      </w:r>
    </w:p>
    <w:p w14:paraId="51DBF695" w14:textId="51043BB1" w:rsidR="00D277C9" w:rsidRDefault="002E2A50" w:rsidP="00D277C9">
      <w:pPr>
        <w:spacing w:line="480" w:lineRule="auto"/>
        <w:ind w:firstLine="720"/>
        <w:jc w:val="both"/>
      </w:pPr>
      <w:r>
        <w:t xml:space="preserve">The </w:t>
      </w:r>
      <w:r w:rsidR="00F00937">
        <w:t xml:space="preserve">Comptroller’s </w:t>
      </w:r>
      <w:r w:rsidR="00A94E49">
        <w:t xml:space="preserve">audit </w:t>
      </w:r>
      <w:r>
        <w:t xml:space="preserve">found that CCHR </w:t>
      </w:r>
      <w:r w:rsidRPr="002E2A50">
        <w:t>inadequate</w:t>
      </w:r>
      <w:r>
        <w:t>ly</w:t>
      </w:r>
      <w:r w:rsidRPr="002E2A50">
        <w:t xml:space="preserve"> monitor</w:t>
      </w:r>
      <w:r>
        <w:t>ed</w:t>
      </w:r>
      <w:r w:rsidRPr="002E2A50">
        <w:t xml:space="preserve"> </w:t>
      </w:r>
      <w:r>
        <w:t xml:space="preserve">its housing discrimination cases </w:t>
      </w:r>
      <w:r w:rsidRPr="002E2A50">
        <w:t xml:space="preserve">and </w:t>
      </w:r>
      <w:r>
        <w:t xml:space="preserve">failed to set or follow </w:t>
      </w:r>
      <w:r w:rsidRPr="002E2A50">
        <w:t>benchmarks</w:t>
      </w:r>
      <w:r>
        <w:t xml:space="preserve"> for timely processing, investigation, and resolution of cases.</w:t>
      </w:r>
      <w:r>
        <w:rPr>
          <w:rStyle w:val="FootnoteReference"/>
        </w:rPr>
        <w:footnoteReference w:id="118"/>
      </w:r>
      <w:r>
        <w:t xml:space="preserve"> </w:t>
      </w:r>
      <w:r w:rsidRPr="002E2A50">
        <w:t xml:space="preserve">Although CCHR </w:t>
      </w:r>
      <w:r>
        <w:t xml:space="preserve">had </w:t>
      </w:r>
      <w:r w:rsidRPr="002E2A50">
        <w:t>adopted a 14-day response standard</w:t>
      </w:r>
      <w:r>
        <w:t xml:space="preserve"> for responding to inquiries</w:t>
      </w:r>
      <w:r w:rsidRPr="002E2A50">
        <w:t>,</w:t>
      </w:r>
      <w:r>
        <w:rPr>
          <w:rStyle w:val="FootnoteReference"/>
        </w:rPr>
        <w:footnoteReference w:id="119"/>
      </w:r>
      <w:r w:rsidRPr="002E2A50">
        <w:t xml:space="preserve"> a sample of 46 inquiries </w:t>
      </w:r>
      <w:r>
        <w:t xml:space="preserve">showed that </w:t>
      </w:r>
      <w:r w:rsidRPr="002E2A50">
        <w:t xml:space="preserve">staff </w:t>
      </w:r>
      <w:r>
        <w:t>only recorded</w:t>
      </w:r>
      <w:r w:rsidRPr="002E2A50">
        <w:t xml:space="preserve"> the inquiry date and first contact attempt for 2</w:t>
      </w:r>
      <w:r>
        <w:t>5</w:t>
      </w:r>
      <w:r w:rsidRPr="002E2A50">
        <w:t xml:space="preserve"> of them; of </w:t>
      </w:r>
      <w:r>
        <w:t>these</w:t>
      </w:r>
      <w:r w:rsidRPr="002E2A50">
        <w:t xml:space="preserve">, </w:t>
      </w:r>
      <w:r>
        <w:t xml:space="preserve">nearly half </w:t>
      </w:r>
      <w:r w:rsidRPr="002E2A50">
        <w:t xml:space="preserve">(48%) were not contacted </w:t>
      </w:r>
      <w:r w:rsidR="00EC291F">
        <w:t xml:space="preserve">until approximately </w:t>
      </w:r>
      <w:r w:rsidRPr="002E2A50">
        <w:t>39 days</w:t>
      </w:r>
      <w:r w:rsidR="00EC291F">
        <w:t xml:space="preserve"> after the inquiry was received</w:t>
      </w:r>
      <w:r>
        <w:t>.</w:t>
      </w:r>
      <w:r w:rsidRPr="002E2A50">
        <w:rPr>
          <w:rStyle w:val="FootnoteReference"/>
        </w:rPr>
        <w:t xml:space="preserve"> </w:t>
      </w:r>
      <w:r>
        <w:rPr>
          <w:rStyle w:val="FootnoteReference"/>
        </w:rPr>
        <w:footnoteReference w:id="120"/>
      </w:r>
      <w:r w:rsidRPr="002E2A50">
        <w:t xml:space="preserve"> </w:t>
      </w:r>
      <w:r>
        <w:t xml:space="preserve">One inquiry did not receive a first response for </w:t>
      </w:r>
      <w:r w:rsidRPr="002E2A50">
        <w:t>165 days</w:t>
      </w:r>
      <w:r w:rsidR="00EC291F">
        <w:t xml:space="preserve"> (over five months)</w:t>
      </w:r>
      <w:r w:rsidRPr="002E2A50">
        <w:t>.</w:t>
      </w:r>
      <w:r>
        <w:rPr>
          <w:rStyle w:val="FootnoteReference"/>
        </w:rPr>
        <w:footnoteReference w:id="121"/>
      </w:r>
      <w:r>
        <w:t xml:space="preserve"> </w:t>
      </w:r>
      <w:r w:rsidRPr="002E2A50">
        <w:t xml:space="preserve">For 18 of 19 inquiries with documented intake dates, appointments occurred on average 84 days (almost 3 months) after </w:t>
      </w:r>
      <w:r w:rsidR="00EC291F">
        <w:t>the initial inquiry was received</w:t>
      </w:r>
      <w:r w:rsidRPr="002E2A50">
        <w:t xml:space="preserve">, with one taking </w:t>
      </w:r>
      <w:r w:rsidR="008A3656">
        <w:t>almost 9 months (</w:t>
      </w:r>
      <w:r w:rsidRPr="002E2A50">
        <w:t>266 days</w:t>
      </w:r>
      <w:r w:rsidR="008A3656">
        <w:t>)</w:t>
      </w:r>
      <w:r w:rsidRPr="002E2A50">
        <w:t>.</w:t>
      </w:r>
      <w:r w:rsidR="00D277C9">
        <w:rPr>
          <w:rStyle w:val="FootnoteReference"/>
        </w:rPr>
        <w:footnoteReference w:id="122"/>
      </w:r>
    </w:p>
    <w:p w14:paraId="4A5BA264" w14:textId="1A741F18" w:rsidR="00F831EB" w:rsidRDefault="00D277C9" w:rsidP="00034A28">
      <w:pPr>
        <w:spacing w:line="480" w:lineRule="auto"/>
        <w:ind w:firstLine="720"/>
        <w:jc w:val="both"/>
      </w:pPr>
      <w:r>
        <w:t>On</w:t>
      </w:r>
      <w:r w:rsidR="00C5376A">
        <w:t>c</w:t>
      </w:r>
      <w:r>
        <w:t xml:space="preserve">e a complaint </w:t>
      </w:r>
      <w:r w:rsidR="00A94E49">
        <w:t>wa</w:t>
      </w:r>
      <w:r>
        <w:t xml:space="preserve">s filed, delays continued. </w:t>
      </w:r>
      <w:r w:rsidR="002E2A50" w:rsidRPr="002E2A50">
        <w:t xml:space="preserve">CCHR guidelines </w:t>
      </w:r>
      <w:r>
        <w:t xml:space="preserve">advise </w:t>
      </w:r>
      <w:r w:rsidR="002E2A50" w:rsidRPr="002E2A50">
        <w:t xml:space="preserve">attorneys </w:t>
      </w:r>
      <w:r>
        <w:t xml:space="preserve">to </w:t>
      </w:r>
      <w:r w:rsidR="002E2A50" w:rsidRPr="002E2A50">
        <w:t xml:space="preserve">submit a draft complaint to supervisors within 14 days of intake, but </w:t>
      </w:r>
      <w:r>
        <w:t xml:space="preserve">no audited cases met this standard. </w:t>
      </w:r>
      <w:r>
        <w:lastRenderedPageBreak/>
        <w:t>F</w:t>
      </w:r>
      <w:r w:rsidR="002E2A50" w:rsidRPr="002E2A50">
        <w:t xml:space="preserve">or 6 of 27 publicly initiated complaints, </w:t>
      </w:r>
      <w:r w:rsidR="00EC291F">
        <w:t xml:space="preserve">the time to draft a complaint </w:t>
      </w:r>
      <w:r w:rsidR="002E2A50" w:rsidRPr="002E2A50">
        <w:t>averaged 115 days (nearly 4 months)</w:t>
      </w:r>
      <w:r>
        <w:t>; o</w:t>
      </w:r>
      <w:r w:rsidR="002E2A50" w:rsidRPr="002E2A50">
        <w:t xml:space="preserve">ne </w:t>
      </w:r>
      <w:r>
        <w:t xml:space="preserve">audited case took </w:t>
      </w:r>
      <w:r w:rsidR="002E2A50" w:rsidRPr="002E2A50">
        <w:t>336 days</w:t>
      </w:r>
      <w:r>
        <w:t>.</w:t>
      </w:r>
      <w:r w:rsidR="002E2A50" w:rsidRPr="002E2A50">
        <w:t xml:space="preserve"> </w:t>
      </w:r>
      <w:r>
        <w:t>F</w:t>
      </w:r>
      <w:r w:rsidR="002E2A50" w:rsidRPr="002E2A50">
        <w:t>or the other 21, key dates were not recorded at all.</w:t>
      </w:r>
      <w:r>
        <w:rPr>
          <w:rStyle w:val="FootnoteReference"/>
        </w:rPr>
        <w:footnoteReference w:id="123"/>
      </w:r>
      <w:r>
        <w:t xml:space="preserve"> </w:t>
      </w:r>
      <w:r w:rsidR="002E2A50" w:rsidRPr="002E2A50">
        <w:t xml:space="preserve">CCHR is required to serve respondents within 120 days of filing, but in </w:t>
      </w:r>
      <w:r w:rsidR="00EC291F">
        <w:t>three</w:t>
      </w:r>
      <w:r>
        <w:t xml:space="preserve"> </w:t>
      </w:r>
      <w:r w:rsidR="002E2A50" w:rsidRPr="002E2A50">
        <w:t>sampled cases service occurred 54, 63, and 85 days late</w:t>
      </w:r>
      <w:r w:rsidR="00C5376A">
        <w:t>, and s</w:t>
      </w:r>
      <w:r w:rsidR="002E2A50" w:rsidRPr="002E2A50">
        <w:t xml:space="preserve">taff </w:t>
      </w:r>
      <w:r w:rsidR="00C5376A">
        <w:t xml:space="preserve">did not </w:t>
      </w:r>
      <w:r>
        <w:t xml:space="preserve">record any attempts </w:t>
      </w:r>
      <w:r w:rsidR="002E2A50" w:rsidRPr="002E2A50">
        <w:t>to locate the respondents</w:t>
      </w:r>
      <w:r w:rsidR="00C5376A">
        <w:t xml:space="preserve"> during the 120 day period</w:t>
      </w:r>
      <w:r w:rsidR="002E2A50" w:rsidRPr="002E2A50">
        <w:t>.</w:t>
      </w:r>
      <w:r>
        <w:rPr>
          <w:rStyle w:val="FootnoteReference"/>
        </w:rPr>
        <w:footnoteReference w:id="124"/>
      </w:r>
      <w:r>
        <w:t xml:space="preserve"> In </w:t>
      </w:r>
      <w:r w:rsidR="00EC291F">
        <w:t xml:space="preserve">five </w:t>
      </w:r>
      <w:r w:rsidR="00A94E49" w:rsidRPr="002E2A50">
        <w:t xml:space="preserve">sampled </w:t>
      </w:r>
      <w:r>
        <w:t xml:space="preserve">cases where </w:t>
      </w:r>
      <w:r w:rsidR="002E2A50" w:rsidRPr="002E2A50">
        <w:t xml:space="preserve">attorneys left or were removed mid-case, CCHR took an average of 348 days (over 11 months) to reassign </w:t>
      </w:r>
      <w:r>
        <w:t>the case</w:t>
      </w:r>
      <w:r w:rsidR="002E2A50" w:rsidRPr="002E2A50">
        <w:t xml:space="preserve">, with </w:t>
      </w:r>
      <w:r>
        <w:t>one gap of</w:t>
      </w:r>
      <w:r w:rsidRPr="002E2A50">
        <w:t xml:space="preserve"> 812 days (over 2 years)</w:t>
      </w:r>
      <w:r>
        <w:t xml:space="preserve">. </w:t>
      </w:r>
      <w:r w:rsidR="00034A28">
        <w:t>N</w:t>
      </w:r>
      <w:r w:rsidR="002E2A50" w:rsidRPr="002E2A50">
        <w:t xml:space="preserve">o investigative activity </w:t>
      </w:r>
      <w:r w:rsidR="00034A28">
        <w:t xml:space="preserve">was recorded </w:t>
      </w:r>
      <w:r w:rsidR="002E2A50" w:rsidRPr="002E2A50">
        <w:t>during the</w:t>
      </w:r>
      <w:r w:rsidR="00034A28">
        <w:t>se</w:t>
      </w:r>
      <w:r w:rsidR="002E2A50" w:rsidRPr="002E2A50">
        <w:t xml:space="preserve"> gap</w:t>
      </w:r>
      <w:r w:rsidR="00034A28">
        <w:t xml:space="preserve">s </w:t>
      </w:r>
      <w:r w:rsidR="00F00937">
        <w:t>between</w:t>
      </w:r>
      <w:r w:rsidR="00034A28">
        <w:t xml:space="preserve"> assigned attorney</w:t>
      </w:r>
      <w:r w:rsidR="00F00937">
        <w:t>s</w:t>
      </w:r>
      <w:r w:rsidR="002E2A50" w:rsidRPr="002E2A50">
        <w:t>.</w:t>
      </w:r>
      <w:r w:rsidR="00034A28">
        <w:rPr>
          <w:rStyle w:val="FootnoteReference"/>
        </w:rPr>
        <w:footnoteReference w:id="125"/>
      </w:r>
      <w:r w:rsidR="00034A28">
        <w:t xml:space="preserve"> </w:t>
      </w:r>
      <w:r w:rsidR="009F3B13">
        <w:t>N</w:t>
      </w:r>
      <w:r w:rsidR="00034A28">
        <w:t>early all cases in the sample lacked required documentation of case supervision.</w:t>
      </w:r>
      <w:r w:rsidR="00034A28">
        <w:rPr>
          <w:rStyle w:val="FootnoteReference"/>
        </w:rPr>
        <w:footnoteReference w:id="126"/>
      </w:r>
      <w:r w:rsidR="00034A28">
        <w:t xml:space="preserve"> </w:t>
      </w:r>
    </w:p>
    <w:p w14:paraId="47B25435" w14:textId="792983B8" w:rsidR="00034A28" w:rsidRDefault="004C07E7" w:rsidP="00034A28">
      <w:pPr>
        <w:spacing w:line="480" w:lineRule="auto"/>
        <w:ind w:firstLine="720"/>
        <w:jc w:val="both"/>
      </w:pPr>
      <w:r>
        <w:t xml:space="preserve">Overall, CCHR averaged over </w:t>
      </w:r>
      <w:r w:rsidR="00EC291F">
        <w:t>three</w:t>
      </w:r>
      <w:r>
        <w:t xml:space="preserve"> years to make an initial determination</w:t>
      </w:r>
      <w:r>
        <w:rPr>
          <w:rStyle w:val="FootnoteReference"/>
        </w:rPr>
        <w:footnoteReference w:id="127"/>
      </w:r>
      <w:r>
        <w:t xml:space="preserve"> as to whether to file a complaint</w:t>
      </w:r>
      <w:r w:rsidR="000A22FC">
        <w:t xml:space="preserve"> </w:t>
      </w:r>
      <w:r w:rsidR="00DF528B">
        <w:t xml:space="preserve">after an inquiry was received, </w:t>
      </w:r>
      <w:r w:rsidR="000A22FC">
        <w:t xml:space="preserve">and </w:t>
      </w:r>
      <w:r w:rsidR="00DF528B">
        <w:t xml:space="preserve">one case did not receive a determination for over </w:t>
      </w:r>
      <w:r w:rsidR="00EC291F">
        <w:t xml:space="preserve">seven </w:t>
      </w:r>
      <w:r w:rsidR="00DF528B">
        <w:t>years.</w:t>
      </w:r>
      <w:r w:rsidR="00DF528B">
        <w:rPr>
          <w:rStyle w:val="FootnoteReference"/>
        </w:rPr>
        <w:footnoteReference w:id="128"/>
      </w:r>
      <w:r w:rsidR="00DF528B">
        <w:t xml:space="preserve"> After filing a complaint, </w:t>
      </w:r>
      <w:r w:rsidR="008A3656">
        <w:t xml:space="preserve">CCHR </w:t>
      </w:r>
      <w:r w:rsidR="000A22FC">
        <w:t>average</w:t>
      </w:r>
      <w:r w:rsidR="008A3656">
        <w:t>d</w:t>
      </w:r>
      <w:r w:rsidR="000A22FC">
        <w:t xml:space="preserve"> over </w:t>
      </w:r>
      <w:r w:rsidR="00EC291F">
        <w:t>two</w:t>
      </w:r>
      <w:r w:rsidR="000A22FC">
        <w:t xml:space="preserve"> years </w:t>
      </w:r>
      <w:r w:rsidR="00DF528B">
        <w:t>to resolve it.</w:t>
      </w:r>
      <w:r w:rsidR="008A3656">
        <w:rPr>
          <w:rStyle w:val="FootnoteReference"/>
        </w:rPr>
        <w:footnoteReference w:id="129"/>
      </w:r>
      <w:r w:rsidR="00DF528B">
        <w:t xml:space="preserve"> </w:t>
      </w:r>
    </w:p>
    <w:p w14:paraId="1EB43D84" w14:textId="77777777" w:rsidR="005147B9" w:rsidRDefault="005147B9" w:rsidP="00034A28">
      <w:pPr>
        <w:spacing w:line="480" w:lineRule="auto"/>
        <w:ind w:firstLine="720"/>
        <w:jc w:val="both"/>
      </w:pPr>
    </w:p>
    <w:p w14:paraId="62EE6DDE" w14:textId="60F128B9" w:rsidR="004C07E7" w:rsidRDefault="005147B9" w:rsidP="007F3EEE">
      <w:pPr>
        <w:spacing w:line="480" w:lineRule="auto"/>
        <w:ind w:firstLine="720"/>
        <w:jc w:val="center"/>
      </w:pPr>
      <w:r w:rsidRPr="005147B9">
        <w:rPr>
          <w:noProof/>
        </w:rPr>
        <w:lastRenderedPageBreak/>
        <w:drawing>
          <wp:inline distT="0" distB="0" distL="0" distR="0" wp14:anchorId="5449B2F4" wp14:editId="016DA213">
            <wp:extent cx="4499572" cy="2950871"/>
            <wp:effectExtent l="0" t="0" r="0" b="1905"/>
            <wp:docPr id="1563892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92606" name=""/>
                    <pic:cNvPicPr/>
                  </pic:nvPicPr>
                  <pic:blipFill rotWithShape="1">
                    <a:blip r:embed="rId15"/>
                    <a:srcRect l="4113" r="2971" b="2016"/>
                    <a:stretch>
                      <a:fillRect/>
                    </a:stretch>
                  </pic:blipFill>
                  <pic:spPr bwMode="auto">
                    <a:xfrm>
                      <a:off x="0" y="0"/>
                      <a:ext cx="4499572" cy="2950871"/>
                    </a:xfrm>
                    <a:prstGeom prst="rect">
                      <a:avLst/>
                    </a:prstGeom>
                    <a:ln>
                      <a:noFill/>
                    </a:ln>
                    <a:extLst>
                      <a:ext uri="{53640926-AAD7-44D8-BBD7-CCE9431645EC}">
                        <a14:shadowObscured xmlns:a14="http://schemas.microsoft.com/office/drawing/2010/main"/>
                      </a:ext>
                    </a:extLst>
                  </pic:spPr>
                </pic:pic>
              </a:graphicData>
            </a:graphic>
          </wp:inline>
        </w:drawing>
      </w:r>
    </w:p>
    <w:p w14:paraId="79AFEAFF" w14:textId="66EB1BD4" w:rsidR="005147B9" w:rsidRPr="005147B9" w:rsidRDefault="005147B9" w:rsidP="007F3EEE">
      <w:pPr>
        <w:spacing w:line="480" w:lineRule="auto"/>
        <w:ind w:firstLine="720"/>
        <w:jc w:val="center"/>
        <w:rPr>
          <w:i/>
          <w:iCs/>
          <w:sz w:val="20"/>
          <w:szCs w:val="20"/>
        </w:rPr>
      </w:pPr>
      <w:r>
        <w:rPr>
          <w:i/>
          <w:iCs/>
          <w:sz w:val="20"/>
          <w:szCs w:val="20"/>
        </w:rPr>
        <w:t>The above chart is replicated from the Comptroller’s Audit at p. 9.</w:t>
      </w:r>
    </w:p>
    <w:p w14:paraId="741DAFA8" w14:textId="50659401" w:rsidR="00F00937" w:rsidRDefault="00034A28" w:rsidP="005E4801">
      <w:pPr>
        <w:spacing w:line="480" w:lineRule="auto"/>
        <w:ind w:firstLine="720"/>
        <w:jc w:val="both"/>
      </w:pPr>
      <w:r>
        <w:t xml:space="preserve">CCHR and the Comptroller both agreed that inadequate and declining staffing levels </w:t>
      </w:r>
      <w:r w:rsidR="00C5376A">
        <w:t>contributed</w:t>
      </w:r>
      <w:r>
        <w:t xml:space="preserve"> to these dysfunctions.</w:t>
      </w:r>
      <w:r>
        <w:rPr>
          <w:rStyle w:val="FootnoteReference"/>
        </w:rPr>
        <w:footnoteReference w:id="130"/>
      </w:r>
      <w:r>
        <w:t xml:space="preserve"> </w:t>
      </w:r>
      <w:r w:rsidR="00134037">
        <w:t xml:space="preserve">During the </w:t>
      </w:r>
      <w:r w:rsidR="000A22FC">
        <w:t>span of the audit</w:t>
      </w:r>
      <w:r w:rsidR="00134037">
        <w:t>,</w:t>
      </w:r>
      <w:r w:rsidR="000A22FC">
        <w:t xml:space="preserve"> CCHR </w:t>
      </w:r>
      <w:r w:rsidR="00134037">
        <w:t xml:space="preserve">dropped from a high of 42 staff attorneys down to a low of 8, and </w:t>
      </w:r>
      <w:r w:rsidR="000A22FC">
        <w:t xml:space="preserve">revised its internal guidance for how long an average housing case should take to resolve </w:t>
      </w:r>
      <w:r w:rsidR="00134037">
        <w:t xml:space="preserve">up </w:t>
      </w:r>
      <w:r w:rsidR="000A22FC">
        <w:t xml:space="preserve">from </w:t>
      </w:r>
      <w:r w:rsidR="00EC291F">
        <w:t>one</w:t>
      </w:r>
      <w:r w:rsidR="000A22FC">
        <w:t xml:space="preserve"> year to </w:t>
      </w:r>
      <w:r w:rsidR="00EC291F">
        <w:t>two</w:t>
      </w:r>
      <w:r w:rsidR="000A22FC">
        <w:t xml:space="preserve"> years, partially as a reflection of </w:t>
      </w:r>
      <w:r w:rsidR="00C150CA">
        <w:t>staffing shortages.</w:t>
      </w:r>
      <w:r w:rsidR="00C150CA">
        <w:rPr>
          <w:rStyle w:val="FootnoteReference"/>
        </w:rPr>
        <w:footnoteReference w:id="131"/>
      </w:r>
      <w:r w:rsidR="00C150CA">
        <w:t xml:space="preserve"> </w:t>
      </w:r>
      <w:r w:rsidR="002E2A50" w:rsidRPr="002E2A50">
        <w:t xml:space="preserve">The Comptroller </w:t>
      </w:r>
      <w:r w:rsidR="00F00937">
        <w:t xml:space="preserve">further </w:t>
      </w:r>
      <w:r w:rsidR="00F00937" w:rsidRPr="00F00937">
        <w:t>observed that inadequate documentation or analysis of case files has prevented CCHR from identifying or addressing the causes of delay</w:t>
      </w:r>
      <w:r w:rsidR="00F00937">
        <w:t>, and</w:t>
      </w:r>
      <w:r w:rsidR="00F00937" w:rsidRPr="00F00937">
        <w:t xml:space="preserve"> </w:t>
      </w:r>
      <w:r w:rsidR="002E2A50" w:rsidRPr="002E2A50">
        <w:t>recommend</w:t>
      </w:r>
      <w:r>
        <w:t>ed that</w:t>
      </w:r>
      <w:r w:rsidR="002E2A50" w:rsidRPr="002E2A50">
        <w:t xml:space="preserve"> CCHR </w:t>
      </w:r>
      <w:r>
        <w:t xml:space="preserve">impose and monitor compliance with clear </w:t>
      </w:r>
      <w:r w:rsidR="002E2A50" w:rsidRPr="002E2A50">
        <w:t xml:space="preserve">timeframes for each step of intake, complaint filing, and investigation; analyze </w:t>
      </w:r>
      <w:r>
        <w:t xml:space="preserve">internal </w:t>
      </w:r>
      <w:r w:rsidR="002E2A50" w:rsidRPr="002E2A50">
        <w:t xml:space="preserve">data to identify bottlenecks; create a </w:t>
      </w:r>
      <w:r w:rsidR="002E2A50" w:rsidRPr="002E2A50">
        <w:lastRenderedPageBreak/>
        <w:t xml:space="preserve">procedure </w:t>
      </w:r>
      <w:r>
        <w:t xml:space="preserve">to </w:t>
      </w:r>
      <w:r w:rsidR="002E2A50" w:rsidRPr="002E2A50">
        <w:t>prioritiz</w:t>
      </w:r>
      <w:r>
        <w:t>e</w:t>
      </w:r>
      <w:r w:rsidR="002E2A50" w:rsidRPr="002E2A50">
        <w:t xml:space="preserve"> attorney reassignments; and ensure staff document case supervision and activities.</w:t>
      </w:r>
      <w:r>
        <w:rPr>
          <w:rStyle w:val="FootnoteReference"/>
        </w:rPr>
        <w:footnoteReference w:id="132"/>
      </w:r>
      <w:r w:rsidR="005E4801">
        <w:t xml:space="preserve"> </w:t>
      </w:r>
    </w:p>
    <w:p w14:paraId="3178F59F" w14:textId="5152E4C4" w:rsidR="00F210EF" w:rsidRPr="005E4801" w:rsidRDefault="002E2A50" w:rsidP="005E4801">
      <w:pPr>
        <w:spacing w:line="480" w:lineRule="auto"/>
        <w:ind w:firstLine="720"/>
        <w:jc w:val="both"/>
        <w:rPr>
          <w:i/>
          <w:iCs/>
        </w:rPr>
      </w:pPr>
      <w:r w:rsidRPr="002E2A50">
        <w:t xml:space="preserve">CCHR generally agreed with the recommendations and described actions it will </w:t>
      </w:r>
      <w:proofErr w:type="gramStart"/>
      <w:r w:rsidRPr="002E2A50">
        <w:t>take, but</w:t>
      </w:r>
      <w:proofErr w:type="gramEnd"/>
      <w:r w:rsidRPr="002E2A50">
        <w:t xml:space="preserve"> disagreed with several findings</w:t>
      </w:r>
      <w:r w:rsidR="005E4801">
        <w:t xml:space="preserve">: it </w:t>
      </w:r>
      <w:r w:rsidRPr="002E2A50">
        <w:t>argu</w:t>
      </w:r>
      <w:r w:rsidR="005E4801">
        <w:t>ed that</w:t>
      </w:r>
      <w:r w:rsidRPr="002E2A50">
        <w:t xml:space="preserve"> the audit mischaracterizes its workflow</w:t>
      </w:r>
      <w:r w:rsidR="001D37E6">
        <w:t xml:space="preserve"> and</w:t>
      </w:r>
      <w:r w:rsidRPr="002E2A50">
        <w:t xml:space="preserve"> ignores the </w:t>
      </w:r>
      <w:r w:rsidR="001D37E6" w:rsidRPr="002E2A50">
        <w:t xml:space="preserve">pre-complaint intervention </w:t>
      </w:r>
      <w:r w:rsidRPr="002E2A50">
        <w:t>process.</w:t>
      </w:r>
      <w:r w:rsidR="001D37E6">
        <w:rPr>
          <w:rStyle w:val="FootnoteReference"/>
        </w:rPr>
        <w:footnoteReference w:id="133"/>
      </w:r>
      <w:r w:rsidRPr="002E2A50">
        <w:t xml:space="preserve"> </w:t>
      </w:r>
      <w:r w:rsidR="001D37E6">
        <w:t>Nevertheless, t</w:t>
      </w:r>
      <w:r w:rsidRPr="002E2A50">
        <w:t>he Comptroller</w:t>
      </w:r>
      <w:r w:rsidR="001D37E6">
        <w:t xml:space="preserve"> </w:t>
      </w:r>
      <w:r w:rsidRPr="002E2A50">
        <w:t xml:space="preserve">largely </w:t>
      </w:r>
      <w:r w:rsidR="001D37E6">
        <w:t xml:space="preserve">retained </w:t>
      </w:r>
      <w:r w:rsidRPr="002E2A50">
        <w:t xml:space="preserve">the </w:t>
      </w:r>
      <w:r w:rsidR="001D37E6">
        <w:t xml:space="preserve">audit’s </w:t>
      </w:r>
      <w:r w:rsidRPr="002E2A50">
        <w:t>original finding</w:t>
      </w:r>
      <w:r w:rsidR="001D37E6">
        <w:t>s</w:t>
      </w:r>
      <w:r w:rsidRPr="002E2A50">
        <w:t>.</w:t>
      </w:r>
      <w:r w:rsidR="00C5376A">
        <w:rPr>
          <w:rStyle w:val="FootnoteReference"/>
        </w:rPr>
        <w:footnoteReference w:id="134"/>
      </w:r>
    </w:p>
    <w:sectPr w:rsidR="00F210EF" w:rsidRPr="005E4801" w:rsidSect="00435404">
      <w:headerReference w:type="even" r:id="rId16"/>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7C27" w14:textId="77777777" w:rsidR="00C266CC" w:rsidRDefault="00C266CC" w:rsidP="00C32976">
      <w:r>
        <w:separator/>
      </w:r>
    </w:p>
  </w:endnote>
  <w:endnote w:type="continuationSeparator" w:id="0">
    <w:p w14:paraId="5468FE01" w14:textId="77777777" w:rsidR="00C266CC" w:rsidRDefault="00C266CC" w:rsidP="00C32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49130"/>
      <w:docPartObj>
        <w:docPartGallery w:val="Page Numbers (Bottom of Page)"/>
        <w:docPartUnique/>
      </w:docPartObj>
    </w:sdtPr>
    <w:sdtEndPr/>
    <w:sdtContent>
      <w:sdt>
        <w:sdtPr>
          <w:id w:val="1728636285"/>
          <w:docPartObj>
            <w:docPartGallery w:val="Page Numbers (Top of Page)"/>
            <w:docPartUnique/>
          </w:docPartObj>
        </w:sdtPr>
        <w:sdtEndPr/>
        <w:sdtContent>
          <w:p w14:paraId="16C22A25" w14:textId="7ED27E08" w:rsidR="00B11A7A" w:rsidRDefault="00B11A7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2D7AB24" w14:textId="77777777" w:rsidR="00B11A7A" w:rsidRDefault="00B11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533E" w14:textId="77777777" w:rsidR="00C266CC" w:rsidRDefault="00C266CC" w:rsidP="00C32976">
      <w:r>
        <w:separator/>
      </w:r>
    </w:p>
  </w:footnote>
  <w:footnote w:type="continuationSeparator" w:id="0">
    <w:p w14:paraId="3A77C9B3" w14:textId="77777777" w:rsidR="00C266CC" w:rsidRDefault="00C266CC" w:rsidP="00C32976">
      <w:r>
        <w:continuationSeparator/>
      </w:r>
    </w:p>
  </w:footnote>
  <w:footnote w:id="1">
    <w:p w14:paraId="21F24719" w14:textId="4E6FBBE3" w:rsidR="00786BC8" w:rsidRDefault="00786BC8">
      <w:pPr>
        <w:pStyle w:val="FootnoteText"/>
      </w:pPr>
      <w:r>
        <w:rPr>
          <w:rStyle w:val="FootnoteReference"/>
        </w:rPr>
        <w:footnoteRef/>
      </w:r>
      <w:r>
        <w:t xml:space="preserve"> </w:t>
      </w:r>
      <w:r w:rsidR="00DD4B69" w:rsidRPr="008E0082">
        <w:rPr>
          <w:i/>
          <w:iCs/>
        </w:rPr>
        <w:t>American History, Race, and Prison</w:t>
      </w:r>
      <w:r w:rsidR="00DD4B69">
        <w:t xml:space="preserve">, </w:t>
      </w:r>
      <w:r w:rsidR="004B2D02">
        <w:t>Vera Institute</w:t>
      </w:r>
      <w:r w:rsidR="002C6945">
        <w:t xml:space="preserve">. See: </w:t>
      </w:r>
      <w:hyperlink r:id="rId1" w:history="1">
        <w:r w:rsidR="00387C6B" w:rsidRPr="00D01BBC">
          <w:rPr>
            <w:rStyle w:val="Hyperlink"/>
          </w:rPr>
          <w:t>https://www.vera.org/reimagining-prison-web-report/american-history-race-and-prison</w:t>
        </w:r>
      </w:hyperlink>
      <w:r w:rsidR="00387C6B">
        <w:t xml:space="preserve"> </w:t>
      </w:r>
    </w:p>
  </w:footnote>
  <w:footnote w:id="2">
    <w:p w14:paraId="092A3609" w14:textId="67EE3793" w:rsidR="000825D2" w:rsidRDefault="000825D2">
      <w:pPr>
        <w:pStyle w:val="FootnoteText"/>
      </w:pPr>
      <w:r>
        <w:rPr>
          <w:rStyle w:val="FootnoteReference"/>
        </w:rPr>
        <w:footnoteRef/>
      </w:r>
      <w:r>
        <w:t xml:space="preserve"> </w:t>
      </w:r>
      <w:r w:rsidR="00BD6010" w:rsidRPr="008E0082">
        <w:rPr>
          <w:i/>
          <w:iCs/>
        </w:rPr>
        <w:t>American History, Race, and Prison</w:t>
      </w:r>
      <w:r w:rsidR="00BD6010">
        <w:t xml:space="preserve">, Vera Institute. See: </w:t>
      </w:r>
      <w:hyperlink r:id="rId2" w:history="1">
        <w:r w:rsidR="00BD6010" w:rsidRPr="00D01BBC">
          <w:rPr>
            <w:rStyle w:val="Hyperlink"/>
          </w:rPr>
          <w:t>https://www.vera.org/reimagining-prison-web-report/american-history-race-and-prison</w:t>
        </w:r>
      </w:hyperlink>
    </w:p>
  </w:footnote>
  <w:footnote w:id="3">
    <w:p w14:paraId="1C2522EB" w14:textId="77777777" w:rsidR="00AB161E" w:rsidRDefault="00AB161E" w:rsidP="00AB161E">
      <w:pPr>
        <w:pStyle w:val="FootnoteText"/>
      </w:pPr>
      <w:r>
        <w:rPr>
          <w:rStyle w:val="FootnoteReference"/>
        </w:rPr>
        <w:footnoteRef/>
      </w:r>
      <w:r>
        <w:t xml:space="preserve"> Travis, Jeremy, et. al, </w:t>
      </w:r>
      <w:r w:rsidRPr="003C6D3C">
        <w:rPr>
          <w:i/>
          <w:iCs/>
        </w:rPr>
        <w:t>The Growth of Incarceration in the United States</w:t>
      </w:r>
      <w:r>
        <w:t xml:space="preserve">, National Research Council of the National Academy of Sciences. (2014) Available at: </w:t>
      </w:r>
      <w:hyperlink r:id="rId3" w:history="1">
        <w:r w:rsidRPr="00D01BBC">
          <w:rPr>
            <w:rStyle w:val="Hyperlink"/>
          </w:rPr>
          <w:t>https://www.vera.org/reimagining-prison-web-report/american-history-race-and-prison</w:t>
        </w:r>
      </w:hyperlink>
      <w:r>
        <w:t xml:space="preserve"> </w:t>
      </w:r>
    </w:p>
  </w:footnote>
  <w:footnote w:id="4">
    <w:p w14:paraId="57B95807" w14:textId="77777777" w:rsidR="00AB161E" w:rsidRDefault="00AB161E" w:rsidP="00AB161E">
      <w:pPr>
        <w:pStyle w:val="FootnoteText"/>
      </w:pPr>
      <w:r>
        <w:rPr>
          <w:rStyle w:val="FootnoteReference"/>
        </w:rPr>
        <w:footnoteRef/>
      </w:r>
      <w:r>
        <w:t xml:space="preserve"> Prison Industrial Complex is a term used to describe the overlapping interests of government and industry that use surveillance, policing, and imprisonment as solutions to economic, social, and political problems. See: </w:t>
      </w:r>
      <w:hyperlink r:id="rId4" w:history="1">
        <w:r w:rsidRPr="00D01BBC">
          <w:rPr>
            <w:rStyle w:val="Hyperlink"/>
          </w:rPr>
          <w:t>https://criticalresistance.org/mission-vision/not-so-common-language/</w:t>
        </w:r>
      </w:hyperlink>
      <w:r>
        <w:t xml:space="preserve"> </w:t>
      </w:r>
    </w:p>
  </w:footnote>
  <w:footnote w:id="5">
    <w:p w14:paraId="5AFB2238" w14:textId="5F62BEE8" w:rsidR="00032D67" w:rsidRDefault="00032D67">
      <w:pPr>
        <w:pStyle w:val="FootnoteText"/>
      </w:pPr>
      <w:r>
        <w:rPr>
          <w:rStyle w:val="FootnoteReference"/>
        </w:rPr>
        <w:footnoteRef/>
      </w:r>
      <w:r>
        <w:t xml:space="preserve"> </w:t>
      </w:r>
      <w:r w:rsidR="0036732D" w:rsidRPr="008E0082">
        <w:rPr>
          <w:i/>
          <w:iCs/>
        </w:rPr>
        <w:t>American History, Race, and Prison</w:t>
      </w:r>
      <w:r w:rsidR="0036732D">
        <w:t xml:space="preserve">, Vera Institute. See: </w:t>
      </w:r>
      <w:hyperlink r:id="rId5" w:history="1">
        <w:r w:rsidR="0036732D" w:rsidRPr="00D01BBC">
          <w:rPr>
            <w:rStyle w:val="Hyperlink"/>
          </w:rPr>
          <w:t>https://www.vera.org/reimagining-prison-web-report/american-history-race-and-prison</w:t>
        </w:r>
      </w:hyperlink>
      <w:r w:rsidR="0036732D">
        <w:t xml:space="preserve"> </w:t>
      </w:r>
    </w:p>
  </w:footnote>
  <w:footnote w:id="6">
    <w:p w14:paraId="0D0BA159" w14:textId="41464D62" w:rsidR="00284477" w:rsidRDefault="00284477">
      <w:pPr>
        <w:pStyle w:val="FootnoteText"/>
      </w:pPr>
      <w:r>
        <w:rPr>
          <w:rStyle w:val="FootnoteReference"/>
        </w:rPr>
        <w:footnoteRef/>
      </w:r>
      <w:r>
        <w:t xml:space="preserve"> </w:t>
      </w:r>
      <w:r w:rsidR="00133024">
        <w:t xml:space="preserve">Cullen, James, </w:t>
      </w:r>
      <w:r w:rsidR="00133024" w:rsidRPr="00B07007">
        <w:rPr>
          <w:i/>
          <w:iCs/>
        </w:rPr>
        <w:t>The History of Mass Incarceration</w:t>
      </w:r>
      <w:r w:rsidR="00FD3E92">
        <w:t>, Brennan Center for Justice</w:t>
      </w:r>
      <w:r w:rsidR="00DB2918">
        <w:t xml:space="preserve">. (July 20, 2018). Available at: </w:t>
      </w:r>
      <w:hyperlink r:id="rId6" w:history="1">
        <w:r w:rsidR="003C6D3C" w:rsidRPr="00D01BBC">
          <w:rPr>
            <w:rStyle w:val="Hyperlink"/>
          </w:rPr>
          <w:t>https://www.brennancenter.org/our-work/analysis-opinion/history-mass-incarceration</w:t>
        </w:r>
      </w:hyperlink>
      <w:r w:rsidR="003C6D3C">
        <w:t xml:space="preserve"> </w:t>
      </w:r>
    </w:p>
  </w:footnote>
  <w:footnote w:id="7">
    <w:p w14:paraId="6C303AED" w14:textId="505BB499" w:rsidR="003804C5" w:rsidRDefault="003804C5">
      <w:pPr>
        <w:pStyle w:val="FootnoteText"/>
      </w:pPr>
      <w:r>
        <w:rPr>
          <w:rStyle w:val="FootnoteReference"/>
        </w:rPr>
        <w:footnoteRef/>
      </w:r>
      <w:r>
        <w:t xml:space="preserve"> Cullen, James, </w:t>
      </w:r>
      <w:r w:rsidRPr="00B07007">
        <w:rPr>
          <w:i/>
          <w:iCs/>
        </w:rPr>
        <w:t>The History of Mass Incarceration</w:t>
      </w:r>
      <w:r>
        <w:t xml:space="preserve">, Brennan Center for Justice. (July 20, 2018). Available at: </w:t>
      </w:r>
      <w:hyperlink r:id="rId7" w:history="1">
        <w:r w:rsidRPr="00D01BBC">
          <w:rPr>
            <w:rStyle w:val="Hyperlink"/>
          </w:rPr>
          <w:t>https://www.brennancenter.org/our-work/analysis-opinion/history-mass-incarceration</w:t>
        </w:r>
      </w:hyperlink>
    </w:p>
  </w:footnote>
  <w:footnote w:id="8">
    <w:p w14:paraId="320D39FE" w14:textId="14DA1EFA" w:rsidR="00374EAC" w:rsidRDefault="00374EAC">
      <w:pPr>
        <w:pStyle w:val="FootnoteText"/>
      </w:pPr>
      <w:r>
        <w:rPr>
          <w:rStyle w:val="FootnoteReference"/>
        </w:rPr>
        <w:footnoteRef/>
      </w:r>
      <w:r>
        <w:t xml:space="preserve"> Cullen, James, </w:t>
      </w:r>
      <w:r w:rsidRPr="00B07007">
        <w:rPr>
          <w:i/>
          <w:iCs/>
        </w:rPr>
        <w:t>The History of Mass Incarceration</w:t>
      </w:r>
      <w:r>
        <w:t xml:space="preserve">, Brennan Center for Justice. (July 20, 2018). Available at: </w:t>
      </w:r>
      <w:hyperlink r:id="rId8" w:history="1">
        <w:r w:rsidRPr="00D01BBC">
          <w:rPr>
            <w:rStyle w:val="Hyperlink"/>
          </w:rPr>
          <w:t>https://www.brennancenter.org/our-work/analysis-opinion/history-mass-incarceration</w:t>
        </w:r>
      </w:hyperlink>
    </w:p>
  </w:footnote>
  <w:footnote w:id="9">
    <w:p w14:paraId="468E7AF0" w14:textId="548CCC73" w:rsidR="00B8555A" w:rsidRDefault="00B8555A">
      <w:pPr>
        <w:pStyle w:val="FootnoteText"/>
      </w:pPr>
      <w:r>
        <w:rPr>
          <w:rStyle w:val="FootnoteReference"/>
        </w:rPr>
        <w:footnoteRef/>
      </w:r>
      <w:r>
        <w:t xml:space="preserve"> Farley, Robert, </w:t>
      </w:r>
      <w:r w:rsidRPr="00374EAC">
        <w:rPr>
          <w:i/>
          <w:iCs/>
        </w:rPr>
        <w:t>Bill Clinton and the 1994 Crime Bill</w:t>
      </w:r>
      <w:r>
        <w:t xml:space="preserve">, FactCheck.org. </w:t>
      </w:r>
      <w:r w:rsidR="00F227C0">
        <w:t xml:space="preserve">(Apr </w:t>
      </w:r>
      <w:r w:rsidR="003B3135">
        <w:t xml:space="preserve">12, 2016) Available at: </w:t>
      </w:r>
      <w:hyperlink r:id="rId9" w:history="1">
        <w:r w:rsidR="003B3135" w:rsidRPr="00D01BBC">
          <w:rPr>
            <w:rStyle w:val="Hyperlink"/>
          </w:rPr>
          <w:t>https://www.factcheck.org/2016/04/bill-clinton-and-the-1994-crime-bill/</w:t>
        </w:r>
      </w:hyperlink>
      <w:r w:rsidR="003B3135">
        <w:t xml:space="preserve"> </w:t>
      </w:r>
    </w:p>
  </w:footnote>
  <w:footnote w:id="10">
    <w:p w14:paraId="060BCC3C" w14:textId="14B393E0" w:rsidR="00C0055E" w:rsidRDefault="00C0055E">
      <w:pPr>
        <w:pStyle w:val="FootnoteText"/>
      </w:pPr>
      <w:r>
        <w:rPr>
          <w:rStyle w:val="FootnoteReference"/>
        </w:rPr>
        <w:footnoteRef/>
      </w:r>
      <w:r>
        <w:t xml:space="preserve"> </w:t>
      </w:r>
      <w:r w:rsidR="00CF670B">
        <w:t>N</w:t>
      </w:r>
      <w:r w:rsidR="00613AED">
        <w:t>azgol Ghand</w:t>
      </w:r>
      <w:r w:rsidR="000075D1">
        <w:t>noosh</w:t>
      </w:r>
      <w:r w:rsidR="00082F58">
        <w:t xml:space="preserve"> and Sabrina Pearce, </w:t>
      </w:r>
      <w:r w:rsidR="00082F58" w:rsidRPr="008B0B53">
        <w:rPr>
          <w:i/>
          <w:iCs/>
        </w:rPr>
        <w:t>America’s Incarceration Crossroads: Reversing Progress Amid Record-Low Crime Rates</w:t>
      </w:r>
      <w:r w:rsidR="00082F58">
        <w:t>, The Sentencing Project</w:t>
      </w:r>
      <w:r w:rsidR="008B0B53">
        <w:t xml:space="preserve">. (Nov 12, 2025) Available at: </w:t>
      </w:r>
      <w:hyperlink r:id="rId10" w:history="1">
        <w:r w:rsidR="008B0B53" w:rsidRPr="00D01BBC">
          <w:rPr>
            <w:rStyle w:val="Hyperlink"/>
          </w:rPr>
          <w:t>https://www.sentencingproject.org/policy-brief/americas-incarceration-crossroads-reversing-progress-amid-record-low-crime-rates/</w:t>
        </w:r>
      </w:hyperlink>
      <w:r w:rsidR="008B0B53">
        <w:t xml:space="preserve"> </w:t>
      </w:r>
    </w:p>
  </w:footnote>
  <w:footnote w:id="11">
    <w:p w14:paraId="61D7019E" w14:textId="54B9DE24" w:rsidR="00356E8C" w:rsidRDefault="00356E8C">
      <w:pPr>
        <w:pStyle w:val="FootnoteText"/>
      </w:pPr>
      <w:r>
        <w:rPr>
          <w:rStyle w:val="FootnoteReference"/>
        </w:rPr>
        <w:footnoteRef/>
      </w:r>
      <w:r>
        <w:t xml:space="preserve"> </w:t>
      </w:r>
      <w:r w:rsidRPr="00356E8C">
        <w:t>Bureau of Justice Statistics</w:t>
      </w:r>
      <w:r>
        <w:t xml:space="preserve">, </w:t>
      </w:r>
      <w:r w:rsidRPr="00356E8C">
        <w:rPr>
          <w:i/>
          <w:iCs/>
        </w:rPr>
        <w:t>Prisoners in 2023–Statistical tables</w:t>
      </w:r>
      <w:r>
        <w:rPr>
          <w:i/>
          <w:iCs/>
        </w:rPr>
        <w:t xml:space="preserve"> </w:t>
      </w:r>
      <w:r>
        <w:t xml:space="preserve">(Sept. 2025), </w:t>
      </w:r>
      <w:hyperlink r:id="rId11" w:history="1">
        <w:r w:rsidRPr="0091473F">
          <w:rPr>
            <w:rStyle w:val="Hyperlink"/>
          </w:rPr>
          <w:t>https://bjs.ojp.gov/library/publications/prisoners-2023-statistical-tables</w:t>
        </w:r>
      </w:hyperlink>
      <w:r>
        <w:t xml:space="preserve">.  </w:t>
      </w:r>
    </w:p>
  </w:footnote>
  <w:footnote w:id="12">
    <w:p w14:paraId="7F350412" w14:textId="77777777" w:rsidR="002D6783" w:rsidRDefault="002D6783" w:rsidP="002D6783">
      <w:pPr>
        <w:pStyle w:val="FootnoteText"/>
      </w:pPr>
      <w:r>
        <w:rPr>
          <w:rStyle w:val="FootnoteReference"/>
        </w:rPr>
        <w:footnoteRef/>
      </w:r>
      <w:r>
        <w:t xml:space="preserve"> Highest to Lowest-Prison population total, World Prison Brief. See: </w:t>
      </w:r>
      <w:hyperlink r:id="rId12" w:history="1">
        <w:r w:rsidRPr="00D01BBC">
          <w:rPr>
            <w:rStyle w:val="Hyperlink"/>
          </w:rPr>
          <w:t>https://www.prisonstudies.org/world-prison-data/highest-lowest/highest-lowest-prison-population-total?field_region_taxonomy_tid=All</w:t>
        </w:r>
      </w:hyperlink>
      <w:r>
        <w:t xml:space="preserve"> </w:t>
      </w:r>
    </w:p>
  </w:footnote>
  <w:footnote w:id="13">
    <w:p w14:paraId="4E713CA3" w14:textId="513F7465" w:rsidR="00FA27E1" w:rsidRPr="003E1FED" w:rsidRDefault="00FA27E1" w:rsidP="00FA27E1">
      <w:pPr>
        <w:pStyle w:val="FootnoteText"/>
        <w:jc w:val="both"/>
      </w:pPr>
      <w:r w:rsidRPr="003E1FED">
        <w:rPr>
          <w:rStyle w:val="FootnoteReference"/>
        </w:rPr>
        <w:footnoteRef/>
      </w:r>
      <w:r w:rsidRPr="003E1FED">
        <w:t xml:space="preserve"> </w:t>
      </w:r>
      <w:r w:rsidRPr="003E1FED">
        <w:rPr>
          <w:i/>
        </w:rPr>
        <w:t>Fair Chance Ordinances - An Advocate's Toolkit</w:t>
      </w:r>
      <w:r>
        <w:rPr>
          <w:i/>
        </w:rPr>
        <w:t xml:space="preserve">, </w:t>
      </w:r>
      <w:r w:rsidRPr="00A31442">
        <w:rPr>
          <w:iCs/>
        </w:rPr>
        <w:t>National Housing Law Project</w:t>
      </w:r>
      <w:r w:rsidRPr="003E1FED">
        <w:t>.</w:t>
      </w:r>
      <w:r w:rsidR="00F03A1F">
        <w:t xml:space="preserve"> </w:t>
      </w:r>
      <w:r w:rsidRPr="003E1FED">
        <w:rPr>
          <w:i/>
        </w:rPr>
        <w:t>Available at</w:t>
      </w:r>
      <w:r w:rsidRPr="003E1FED">
        <w:t xml:space="preserve"> </w:t>
      </w:r>
      <w:hyperlink r:id="rId13" w:history="1">
        <w:r w:rsidRPr="003E1FED">
          <w:rPr>
            <w:rStyle w:val="Hyperlink"/>
          </w:rPr>
          <w:t>https://www.nhlp.org/wp-content/uploads/021320_NHLP_FairChance_Final.pdf</w:t>
        </w:r>
      </w:hyperlink>
      <w:r w:rsidRPr="003E1FED">
        <w:t>.</w:t>
      </w:r>
    </w:p>
  </w:footnote>
  <w:footnote w:id="14">
    <w:p w14:paraId="41C69C43" w14:textId="77777777" w:rsidR="002D6783" w:rsidRDefault="002D6783" w:rsidP="002D6783">
      <w:pPr>
        <w:pStyle w:val="FootnoteText"/>
      </w:pPr>
      <w:r>
        <w:rPr>
          <w:rStyle w:val="FootnoteReference"/>
        </w:rPr>
        <w:footnoteRef/>
      </w:r>
      <w:r>
        <w:t xml:space="preserve"> Racial and ethnic disparities, Prison Policy Initiative. (2025) See: </w:t>
      </w:r>
      <w:hyperlink r:id="rId14" w:history="1">
        <w:r w:rsidRPr="00D01BBC">
          <w:rPr>
            <w:rStyle w:val="Hyperlink"/>
          </w:rPr>
          <w:t>https://www.prisonpolicy.org/research/racial_and_ethnic_disparities/</w:t>
        </w:r>
      </w:hyperlink>
      <w:r>
        <w:t xml:space="preserve"> </w:t>
      </w:r>
    </w:p>
  </w:footnote>
  <w:footnote w:id="15">
    <w:p w14:paraId="7B657E1E" w14:textId="77777777" w:rsidR="002D6783" w:rsidRDefault="002D6783" w:rsidP="002D6783">
      <w:pPr>
        <w:pStyle w:val="FootnoteText"/>
      </w:pPr>
      <w:r>
        <w:rPr>
          <w:rStyle w:val="FootnoteReference"/>
        </w:rPr>
        <w:footnoteRef/>
      </w:r>
      <w:r>
        <w:t xml:space="preserve"> Racial and ethnic disparities, Prison Policy Initiative. (2025) See: </w:t>
      </w:r>
      <w:hyperlink r:id="rId15" w:history="1">
        <w:r w:rsidRPr="00D01BBC">
          <w:rPr>
            <w:rStyle w:val="Hyperlink"/>
          </w:rPr>
          <w:t>https://www.prisonpolicy.org/research/racial_and_ethnic_disparities/</w:t>
        </w:r>
      </w:hyperlink>
    </w:p>
  </w:footnote>
  <w:footnote w:id="16">
    <w:p w14:paraId="7FA4458C" w14:textId="77777777" w:rsidR="002D6783" w:rsidRDefault="002D6783" w:rsidP="002D6783">
      <w:pPr>
        <w:pStyle w:val="FootnoteText"/>
      </w:pPr>
      <w:r>
        <w:rPr>
          <w:rStyle w:val="FootnoteReference"/>
        </w:rPr>
        <w:footnoteRef/>
      </w:r>
      <w:r>
        <w:t xml:space="preserve"> Racial and ethnic disparities, Prison Policy Initiative. (2025) See: </w:t>
      </w:r>
      <w:hyperlink r:id="rId16" w:history="1">
        <w:r w:rsidRPr="00D01BBC">
          <w:rPr>
            <w:rStyle w:val="Hyperlink"/>
          </w:rPr>
          <w:t>https://www.prisonpolicy.org/research/racial_and_ethnic_disparities/</w:t>
        </w:r>
      </w:hyperlink>
    </w:p>
  </w:footnote>
  <w:footnote w:id="17">
    <w:p w14:paraId="5E8C9F28" w14:textId="05297554" w:rsidR="00F8149A" w:rsidRPr="003E1FED" w:rsidRDefault="00F8149A">
      <w:pPr>
        <w:pStyle w:val="FootnoteText"/>
      </w:pPr>
      <w:r w:rsidRPr="003E1FED">
        <w:rPr>
          <w:rStyle w:val="FootnoteReference"/>
        </w:rPr>
        <w:footnoteRef/>
      </w:r>
      <w:r w:rsidR="0005264B">
        <w:t xml:space="preserve"> </w:t>
      </w:r>
      <w:r w:rsidR="006D6F44" w:rsidRPr="00340C13">
        <w:rPr>
          <w:i/>
          <w:iCs/>
        </w:rPr>
        <w:t>Americans with Criminal Records,</w:t>
      </w:r>
      <w:r w:rsidR="006D6F44">
        <w:t xml:space="preserve"> </w:t>
      </w:r>
      <w:r w:rsidR="007A73F5">
        <w:t>The Sentencing Project</w:t>
      </w:r>
      <w:r w:rsidR="00372D11">
        <w:t>. (</w:t>
      </w:r>
      <w:r w:rsidR="00340C13">
        <w:t xml:space="preserve">Aug 2022). Available at: </w:t>
      </w:r>
      <w:hyperlink r:id="rId17" w:history="1">
        <w:r w:rsidRPr="003E1FED">
          <w:rPr>
            <w:rStyle w:val="Hyperlink"/>
          </w:rPr>
          <w:t>https://www.sentencingproject.org/app/uploads/2022/08/Americans-with-Criminal-Records-Poverty-and-Opportunity-Profile.pdf</w:t>
        </w:r>
      </w:hyperlink>
    </w:p>
  </w:footnote>
  <w:footnote w:id="18">
    <w:p w14:paraId="01BD9A15" w14:textId="7A7FA5B8" w:rsidR="00FA27E1" w:rsidRPr="003E1FED" w:rsidRDefault="00FA27E1" w:rsidP="00FA27E1">
      <w:pPr>
        <w:pStyle w:val="NormalWeb"/>
        <w:spacing w:before="0" w:beforeAutospacing="0" w:after="0" w:afterAutospacing="0"/>
        <w:contextualSpacing/>
        <w:jc w:val="both"/>
        <w:rPr>
          <w:sz w:val="20"/>
          <w:szCs w:val="20"/>
        </w:rPr>
      </w:pPr>
      <w:r w:rsidRPr="003E1FED">
        <w:rPr>
          <w:rStyle w:val="FootnoteReference"/>
          <w:sz w:val="20"/>
          <w:szCs w:val="20"/>
        </w:rPr>
        <w:footnoteRef/>
      </w:r>
      <w:r w:rsidRPr="003E1FED">
        <w:rPr>
          <w:sz w:val="20"/>
          <w:szCs w:val="20"/>
        </w:rPr>
        <w:t xml:space="preserve"> </w:t>
      </w:r>
      <w:r w:rsidRPr="003E1FED">
        <w:rPr>
          <w:i/>
          <w:sz w:val="20"/>
          <w:szCs w:val="20"/>
        </w:rPr>
        <w:t xml:space="preserve">New York Profile - </w:t>
      </w:r>
      <w:r w:rsidRPr="00A25B47">
        <w:rPr>
          <w:iCs/>
          <w:sz w:val="20"/>
          <w:szCs w:val="20"/>
        </w:rPr>
        <w:t>Prison Policy Initiative</w:t>
      </w:r>
      <w:r w:rsidRPr="003E1FED">
        <w:rPr>
          <w:sz w:val="20"/>
          <w:szCs w:val="20"/>
        </w:rPr>
        <w:t xml:space="preserve">. </w:t>
      </w:r>
      <w:r w:rsidRPr="003E1FED">
        <w:rPr>
          <w:i/>
          <w:sz w:val="20"/>
          <w:szCs w:val="20"/>
        </w:rPr>
        <w:t xml:space="preserve">Available at </w:t>
      </w:r>
      <w:hyperlink r:id="rId18" w:history="1">
        <w:r w:rsidRPr="003E1FED">
          <w:rPr>
            <w:rStyle w:val="Hyperlink"/>
            <w:sz w:val="20"/>
            <w:szCs w:val="20"/>
          </w:rPr>
          <w:t>https://www.prisonpolicy.org/profiles/NY.html</w:t>
        </w:r>
      </w:hyperlink>
      <w:r w:rsidRPr="003E1FED">
        <w:rPr>
          <w:sz w:val="20"/>
          <w:szCs w:val="20"/>
        </w:rPr>
        <w:t>.</w:t>
      </w:r>
    </w:p>
  </w:footnote>
  <w:footnote w:id="19">
    <w:p w14:paraId="61CCB7FF" w14:textId="0E058745" w:rsidR="00FA27E1" w:rsidRPr="003E1FED" w:rsidRDefault="00FA27E1" w:rsidP="00FA27E1">
      <w:pPr>
        <w:pStyle w:val="FootnoteText"/>
        <w:contextualSpacing/>
        <w:jc w:val="both"/>
        <w:rPr>
          <w:i/>
        </w:rPr>
      </w:pPr>
      <w:r w:rsidRPr="003E1FED">
        <w:rPr>
          <w:rStyle w:val="FootnoteReference"/>
        </w:rPr>
        <w:footnoteRef/>
      </w:r>
      <w:r w:rsidRPr="003E1FED">
        <w:t xml:space="preserve"> </w:t>
      </w:r>
      <w:r w:rsidRPr="003E1FED">
        <w:rPr>
          <w:i/>
        </w:rPr>
        <w:t xml:space="preserve">New York Profile - </w:t>
      </w:r>
      <w:r w:rsidRPr="00A25B47">
        <w:rPr>
          <w:iCs/>
        </w:rPr>
        <w:t>Prison Policy Initiative</w:t>
      </w:r>
      <w:r w:rsidRPr="003E1FED">
        <w:t xml:space="preserve">. </w:t>
      </w:r>
      <w:r w:rsidRPr="003E1FED">
        <w:rPr>
          <w:i/>
        </w:rPr>
        <w:t xml:space="preserve">Available at </w:t>
      </w:r>
      <w:hyperlink r:id="rId19" w:history="1">
        <w:r w:rsidRPr="003E1FED">
          <w:rPr>
            <w:rStyle w:val="Hyperlink"/>
          </w:rPr>
          <w:t>https://www.prisonpolicy.org/profiles/NY.html</w:t>
        </w:r>
      </w:hyperlink>
      <w:r w:rsidRPr="003E1FED">
        <w:t>.</w:t>
      </w:r>
    </w:p>
  </w:footnote>
  <w:footnote w:id="20">
    <w:p w14:paraId="404963E4" w14:textId="30F308F7" w:rsidR="00F8149A" w:rsidRDefault="00F8149A">
      <w:pPr>
        <w:pStyle w:val="FootnoteText"/>
      </w:pPr>
      <w:r>
        <w:rPr>
          <w:rStyle w:val="FootnoteReference"/>
        </w:rPr>
        <w:footnoteRef/>
      </w:r>
      <w:r>
        <w:t xml:space="preserve"> </w:t>
      </w:r>
      <w:r w:rsidRPr="00340C13">
        <w:rPr>
          <w:i/>
        </w:rPr>
        <w:t>Americans with Criminal Records</w:t>
      </w:r>
      <w:r w:rsidR="00186DAF" w:rsidRPr="00340C13">
        <w:rPr>
          <w:i/>
          <w:iCs/>
        </w:rPr>
        <w:t>,</w:t>
      </w:r>
      <w:r>
        <w:t xml:space="preserve"> The Sentencing Project. </w:t>
      </w:r>
      <w:r w:rsidR="00186DAF">
        <w:t>(Aug</w:t>
      </w:r>
      <w:r>
        <w:t xml:space="preserve"> 2022</w:t>
      </w:r>
      <w:r w:rsidR="00186DAF">
        <w:t>).</w:t>
      </w:r>
      <w:r>
        <w:t xml:space="preserve"> Available at</w:t>
      </w:r>
      <w:r w:rsidR="00186DAF">
        <w:t>:</w:t>
      </w:r>
      <w:r>
        <w:t xml:space="preserve"> </w:t>
      </w:r>
      <w:hyperlink r:id="rId20" w:history="1">
        <w:r w:rsidRPr="003E1FED">
          <w:rPr>
            <w:rStyle w:val="Hyperlink"/>
          </w:rPr>
          <w:t>https://www.sentencingproject.org/app/uploads/2022/08/Americans-with-Criminal-Records-Poverty-and-Opportunity-Profile.pdf</w:t>
        </w:r>
      </w:hyperlink>
    </w:p>
  </w:footnote>
  <w:footnote w:id="21">
    <w:p w14:paraId="5A89E915" w14:textId="05232CA0" w:rsidR="00F8149A" w:rsidRPr="003E1FED" w:rsidRDefault="00F8149A" w:rsidP="00F8149A">
      <w:pPr>
        <w:pStyle w:val="FootnoteText"/>
      </w:pPr>
      <w:r w:rsidRPr="003E1FED">
        <w:rPr>
          <w:rStyle w:val="FootnoteReference"/>
        </w:rPr>
        <w:footnoteRef/>
      </w:r>
      <w:r w:rsidRPr="003E1FED">
        <w:t xml:space="preserve"> </w:t>
      </w:r>
      <w:r w:rsidR="000E2A64">
        <w:t xml:space="preserve">Ames Grawert and Noah Kim, </w:t>
      </w:r>
      <w:r w:rsidR="00B81BD6">
        <w:rPr>
          <w:i/>
        </w:rPr>
        <w:t xml:space="preserve">New data on Poverty and </w:t>
      </w:r>
      <w:r w:rsidR="006D6090">
        <w:rPr>
          <w:i/>
        </w:rPr>
        <w:t>Criminal Records in New York State</w:t>
      </w:r>
      <w:r w:rsidR="001D6CC0">
        <w:rPr>
          <w:i/>
        </w:rPr>
        <w:t xml:space="preserve">, </w:t>
      </w:r>
      <w:r w:rsidR="001D6CC0">
        <w:rPr>
          <w:iCs/>
        </w:rPr>
        <w:t xml:space="preserve">Brennan Center for Justice. (May 25, 2023) Available at: </w:t>
      </w:r>
      <w:r w:rsidR="00B61F8B" w:rsidRPr="00B61F8B">
        <w:rPr>
          <w:iCs/>
        </w:rPr>
        <w:t>https://www.brennancenter.org/our-work/analysis-opinion/new-data-poverty-and-criminal-records-new-york-state</w:t>
      </w:r>
    </w:p>
  </w:footnote>
  <w:footnote w:id="22">
    <w:p w14:paraId="77BFC0DD" w14:textId="27723721" w:rsidR="00F8149A" w:rsidRPr="003E1FED" w:rsidRDefault="00F8149A" w:rsidP="00F8149A">
      <w:pPr>
        <w:pStyle w:val="FootnoteText"/>
        <w:jc w:val="both"/>
      </w:pPr>
      <w:r w:rsidRPr="003E1FED">
        <w:rPr>
          <w:rStyle w:val="FootnoteReference"/>
        </w:rPr>
        <w:footnoteRef/>
      </w:r>
      <w:r w:rsidRPr="003E1FED">
        <w:t xml:space="preserve"> Zaveri, Mihir. </w:t>
      </w:r>
      <w:r w:rsidRPr="003E1FED">
        <w:rPr>
          <w:i/>
        </w:rPr>
        <w:t>Criminal Background Checks May Be Banned in N.Y.C. Housing Application</w:t>
      </w:r>
      <w:r w:rsidR="0083547A">
        <w:rPr>
          <w:i/>
        </w:rPr>
        <w:t xml:space="preserve">, </w:t>
      </w:r>
      <w:r w:rsidR="0083547A" w:rsidRPr="0083547A">
        <w:rPr>
          <w:iCs/>
        </w:rPr>
        <w:t>The</w:t>
      </w:r>
      <w:r w:rsidRPr="003E1FED">
        <w:t xml:space="preserve"> </w:t>
      </w:r>
      <w:r w:rsidRPr="0083547A">
        <w:t>New York Times</w:t>
      </w:r>
      <w:r w:rsidRPr="003E1FED">
        <w:t xml:space="preserve">. (Aug. 9, 2022) </w:t>
      </w:r>
      <w:r w:rsidRPr="003E1FED">
        <w:rPr>
          <w:i/>
        </w:rPr>
        <w:t xml:space="preserve">Available at </w:t>
      </w:r>
      <w:hyperlink r:id="rId21" w:history="1">
        <w:r w:rsidRPr="003E1FED">
          <w:rPr>
            <w:rStyle w:val="Hyperlink"/>
          </w:rPr>
          <w:t>https://www.nytimes.com/2022/08/09/nyregion/criminal-background-checks-nyc-housing.html</w:t>
        </w:r>
      </w:hyperlink>
      <w:r w:rsidRPr="003E1FED">
        <w:t>.</w:t>
      </w:r>
    </w:p>
  </w:footnote>
  <w:footnote w:id="23">
    <w:p w14:paraId="1256D041" w14:textId="7C0540F4" w:rsidR="00F8149A" w:rsidRPr="003E1FED" w:rsidRDefault="00F8149A" w:rsidP="00F8149A">
      <w:pPr>
        <w:pStyle w:val="NormalWeb"/>
        <w:spacing w:before="0" w:beforeAutospacing="0" w:after="0" w:afterAutospacing="0"/>
        <w:contextualSpacing/>
        <w:jc w:val="both"/>
        <w:rPr>
          <w:sz w:val="20"/>
          <w:szCs w:val="20"/>
        </w:rPr>
      </w:pPr>
      <w:r w:rsidRPr="003E1FED">
        <w:rPr>
          <w:rStyle w:val="FootnoteReference"/>
          <w:sz w:val="20"/>
          <w:szCs w:val="20"/>
        </w:rPr>
        <w:footnoteRef/>
      </w:r>
      <w:r w:rsidRPr="003E1FED">
        <w:rPr>
          <w:sz w:val="20"/>
          <w:szCs w:val="20"/>
        </w:rPr>
        <w:t xml:space="preserve"> Jones, John. </w:t>
      </w:r>
      <w:r w:rsidRPr="003E1FED">
        <w:rPr>
          <w:i/>
          <w:sz w:val="20"/>
          <w:szCs w:val="20"/>
        </w:rPr>
        <w:t>It's Time to Ban the Box on Housing</w:t>
      </w:r>
      <w:r w:rsidR="00C73BD8">
        <w:rPr>
          <w:i/>
          <w:sz w:val="20"/>
          <w:szCs w:val="20"/>
        </w:rPr>
        <w:t>,</w:t>
      </w:r>
      <w:r w:rsidRPr="003E1FED">
        <w:rPr>
          <w:sz w:val="20"/>
          <w:szCs w:val="20"/>
        </w:rPr>
        <w:t xml:space="preserve"> </w:t>
      </w:r>
      <w:r>
        <w:rPr>
          <w:sz w:val="20"/>
          <w:szCs w:val="20"/>
        </w:rPr>
        <w:t>Medium</w:t>
      </w:r>
      <w:r w:rsidRPr="003E1FED">
        <w:rPr>
          <w:sz w:val="20"/>
          <w:szCs w:val="20"/>
        </w:rPr>
        <w:t xml:space="preserve">, TechEquity Collaborative. (Jan. 14, 2019) </w:t>
      </w:r>
      <w:r w:rsidRPr="003E1FED">
        <w:rPr>
          <w:i/>
          <w:sz w:val="20"/>
          <w:szCs w:val="20"/>
        </w:rPr>
        <w:t xml:space="preserve">Available at </w:t>
      </w:r>
      <w:hyperlink r:id="rId22" w:history="1">
        <w:r w:rsidRPr="003E1FED">
          <w:rPr>
            <w:rStyle w:val="Hyperlink"/>
            <w:sz w:val="20"/>
            <w:szCs w:val="20"/>
          </w:rPr>
          <w:t>https://www.medium.com/techequity-collaborative/its-time-to-ban-the-box-on-housing-a20889159e69</w:t>
        </w:r>
      </w:hyperlink>
      <w:r w:rsidRPr="003E1FED">
        <w:rPr>
          <w:sz w:val="20"/>
          <w:szCs w:val="20"/>
        </w:rPr>
        <w:t>.</w:t>
      </w:r>
    </w:p>
  </w:footnote>
  <w:footnote w:id="24">
    <w:p w14:paraId="729C272E" w14:textId="77777777" w:rsidR="00016362" w:rsidRPr="003E1FED" w:rsidRDefault="00016362" w:rsidP="00016362">
      <w:pPr>
        <w:pStyle w:val="FootnoteText"/>
        <w:contextualSpacing/>
        <w:jc w:val="both"/>
      </w:pPr>
      <w:r w:rsidRPr="003E1FED">
        <w:rPr>
          <w:rStyle w:val="FootnoteReference"/>
        </w:rPr>
        <w:footnoteRef/>
      </w:r>
      <w:r w:rsidRPr="003E1FED">
        <w:t xml:space="preserve"> Metraux, S., &amp; Culhane, D. P. </w:t>
      </w:r>
      <w:r w:rsidRPr="003E1FED">
        <w:rPr>
          <w:i/>
        </w:rPr>
        <w:t>Recent Incarceration History Among a Sheltered Homeless Population</w:t>
      </w:r>
      <w:r w:rsidRPr="003E1FED">
        <w:t xml:space="preserve">. (2006) </w:t>
      </w:r>
      <w:r w:rsidRPr="003E1FED">
        <w:rPr>
          <w:i/>
        </w:rPr>
        <w:t xml:space="preserve">Available at </w:t>
      </w:r>
      <w:hyperlink r:id="rId23" w:history="1">
        <w:r w:rsidRPr="003E1FED">
          <w:rPr>
            <w:rStyle w:val="Hyperlink"/>
          </w:rPr>
          <w:t>https://repository.upenn.edu/spp_papers/61</w:t>
        </w:r>
      </w:hyperlink>
      <w:r w:rsidRPr="003E1FED">
        <w:t>.</w:t>
      </w:r>
    </w:p>
  </w:footnote>
  <w:footnote w:id="25">
    <w:p w14:paraId="08CFDFF9" w14:textId="77777777" w:rsidR="00016362" w:rsidRPr="002A33DF" w:rsidRDefault="00016362" w:rsidP="00016362">
      <w:pPr>
        <w:pStyle w:val="FootnoteText"/>
      </w:pPr>
      <w:r>
        <w:rPr>
          <w:rStyle w:val="FootnoteReference"/>
        </w:rPr>
        <w:footnoteRef/>
      </w:r>
      <w:r>
        <w:t xml:space="preserve"> Sandhya Kajeepta, </w:t>
      </w:r>
      <w:r w:rsidRPr="002A33DF">
        <w:rPr>
          <w:i/>
          <w:iCs/>
        </w:rPr>
        <w:t>Barred from Housing: The Discriminatory Impacts of Criminal History Restrictions in Tenant Screening</w:t>
      </w:r>
      <w:r>
        <w:t xml:space="preserve">, Thurgood Marshall Institute (April 2025), </w:t>
      </w:r>
      <w:hyperlink r:id="rId24" w:history="1">
        <w:r w:rsidRPr="0091473F">
          <w:rPr>
            <w:rStyle w:val="Hyperlink"/>
          </w:rPr>
          <w:t>https://tminstituteldf.org/criminal-background-checks-housing-barrier/</w:t>
        </w:r>
      </w:hyperlink>
      <w:r>
        <w:t xml:space="preserve">. </w:t>
      </w:r>
    </w:p>
  </w:footnote>
  <w:footnote w:id="26">
    <w:p w14:paraId="27800BBB" w14:textId="77777777" w:rsidR="00F8149A" w:rsidRPr="003E1FED" w:rsidRDefault="00F8149A" w:rsidP="00F8149A">
      <w:pPr>
        <w:pStyle w:val="FootnoteText"/>
        <w:contextualSpacing/>
        <w:jc w:val="both"/>
      </w:pPr>
      <w:r w:rsidRPr="003E1FED">
        <w:rPr>
          <w:rStyle w:val="FootnoteReference"/>
        </w:rPr>
        <w:footnoteRef/>
      </w:r>
      <w:r w:rsidRPr="003E1FED">
        <w:t xml:space="preserve"> Saneta deVuono-powell, Chris Schweidler, Alicia Walters, and Azadeh Zohrabi. </w:t>
      </w:r>
      <w:r w:rsidRPr="003E1FED">
        <w:rPr>
          <w:i/>
        </w:rPr>
        <w:t>Who Pays? The True Cost of Incarceration on Families</w:t>
      </w:r>
      <w:r w:rsidRPr="003E1FED">
        <w:t xml:space="preserve">. Oakland, CA: Ella Baker Center, Forward Together, Research Action Design. (2015) </w:t>
      </w:r>
      <w:r w:rsidRPr="003E1FED">
        <w:rPr>
          <w:i/>
        </w:rPr>
        <w:t xml:space="preserve">Available at </w:t>
      </w:r>
      <w:hyperlink r:id="rId25" w:history="1">
        <w:r w:rsidRPr="003E1FED">
          <w:rPr>
            <w:rStyle w:val="Hyperlink"/>
          </w:rPr>
          <w:t>https://whopaysreport.org/wp-content/uploads/2015/09/Who-Pays-FINAL.pdf</w:t>
        </w:r>
      </w:hyperlink>
      <w:r w:rsidRPr="003E1FED">
        <w:t>.</w:t>
      </w:r>
    </w:p>
  </w:footnote>
  <w:footnote w:id="27">
    <w:p w14:paraId="5D236AEA" w14:textId="5071C9BA" w:rsidR="00991462" w:rsidRDefault="00991462" w:rsidP="00991462">
      <w:pPr>
        <w:pStyle w:val="FootnoteText"/>
      </w:pPr>
      <w:r>
        <w:rPr>
          <w:rStyle w:val="FootnoteReference"/>
        </w:rPr>
        <w:footnoteRef/>
      </w:r>
      <w:r>
        <w:t xml:space="preserve"> </w:t>
      </w:r>
      <w:r w:rsidR="00D61641">
        <w:t xml:space="preserve">Surveyed </w:t>
      </w:r>
      <w:r w:rsidR="00D61641" w:rsidRPr="00991462">
        <w:t xml:space="preserve">individuals </w:t>
      </w:r>
      <w:r w:rsidR="00D61641">
        <w:t xml:space="preserve">were </w:t>
      </w:r>
      <w:r w:rsidR="00D61641" w:rsidRPr="00991462">
        <w:t>between the ages of 25 and 44</w:t>
      </w:r>
      <w:r w:rsidR="00D61641">
        <w:t>.</w:t>
      </w:r>
      <w:r w:rsidR="00D61641" w:rsidRPr="00991462">
        <w:t xml:space="preserve"> </w:t>
      </w:r>
      <w:r>
        <w:t xml:space="preserve">Ferguson Melhorn, Stephanie, et al, The Workforce Impact of Second Chance Hiring, U.S. Chamber of Commerce (Sept. 18 2024) Available at: </w:t>
      </w:r>
      <w:hyperlink r:id="rId26" w:history="1">
        <w:r w:rsidRPr="00AE5290">
          <w:rPr>
            <w:rStyle w:val="Hyperlink"/>
          </w:rPr>
          <w:t>https://www.uschamber.com/workforce/data-deep-dive-the-workforce-impact-of-second-chance-hiring-3</w:t>
        </w:r>
      </w:hyperlink>
      <w:r>
        <w:t xml:space="preserve"> </w:t>
      </w:r>
    </w:p>
  </w:footnote>
  <w:footnote w:id="28">
    <w:p w14:paraId="32C96E59" w14:textId="77777777" w:rsidR="00991462" w:rsidRDefault="00991462" w:rsidP="00991462">
      <w:pPr>
        <w:pStyle w:val="FootnoteText"/>
      </w:pPr>
      <w:r>
        <w:rPr>
          <w:rStyle w:val="FootnoteReference"/>
        </w:rPr>
        <w:footnoteRef/>
      </w:r>
      <w:r>
        <w:t xml:space="preserve"> Grant Duwe and Makada Henry-Nickie, </w:t>
      </w:r>
      <w:r w:rsidRPr="007B5DF4">
        <w:rPr>
          <w:i/>
        </w:rPr>
        <w:t>A better path forward for criminal justice: training and employment for correctional populations</w:t>
      </w:r>
      <w:r>
        <w:t xml:space="preserve">, The Brookings Institution. (Apr 2021) </w:t>
      </w:r>
      <w:r w:rsidRPr="007B5DF4">
        <w:rPr>
          <w:i/>
        </w:rPr>
        <w:t xml:space="preserve">Available at: </w:t>
      </w:r>
      <w:hyperlink r:id="rId27" w:history="1">
        <w:r w:rsidRPr="00AE5290">
          <w:rPr>
            <w:rStyle w:val="Hyperlink"/>
          </w:rPr>
          <w:t>https://www.brookings.edu/articles/a-better-path-forward-for-criminal-justice-training-and-employment-for-correctional-populations/</w:t>
        </w:r>
      </w:hyperlink>
      <w:r>
        <w:t xml:space="preserve"> </w:t>
      </w:r>
    </w:p>
  </w:footnote>
  <w:footnote w:id="29">
    <w:p w14:paraId="749B0FEA" w14:textId="77777777" w:rsidR="00991462" w:rsidRDefault="00991462" w:rsidP="00991462">
      <w:pPr>
        <w:pStyle w:val="FootnoteText"/>
      </w:pPr>
      <w:r>
        <w:rPr>
          <w:rStyle w:val="FootnoteReference"/>
        </w:rPr>
        <w:footnoteRef/>
      </w:r>
      <w:r>
        <w:t xml:space="preserve"> Ferguson Melhorn, Stephanie, et al, The Workforce Impact of Second Chance Hiring, U.S. Chamber of Commerce (Sept. 18 2024) Available at: </w:t>
      </w:r>
      <w:hyperlink r:id="rId28" w:history="1">
        <w:r w:rsidRPr="00AE5290">
          <w:rPr>
            <w:rStyle w:val="Hyperlink"/>
          </w:rPr>
          <w:t>https://www.uschamber.com/workforce/data-deep-dive-the-workforce-impact-of-second-chance-hiring-3</w:t>
        </w:r>
      </w:hyperlink>
    </w:p>
  </w:footnote>
  <w:footnote w:id="30">
    <w:p w14:paraId="42FC367E" w14:textId="77777777" w:rsidR="00F8149A" w:rsidRPr="003E1FED" w:rsidRDefault="00F8149A" w:rsidP="00F8149A">
      <w:pPr>
        <w:pStyle w:val="FootnoteText"/>
        <w:contextualSpacing/>
        <w:jc w:val="both"/>
      </w:pPr>
      <w:r w:rsidRPr="003E1FED">
        <w:rPr>
          <w:rStyle w:val="FootnoteReference"/>
        </w:rPr>
        <w:footnoteRef/>
      </w:r>
      <w:r w:rsidRPr="003E1FED">
        <w:t xml:space="preserve"> Fontaine, Jocelyn. </w:t>
      </w:r>
      <w:r w:rsidRPr="003E1FED">
        <w:rPr>
          <w:i/>
        </w:rPr>
        <w:t>Cityscape: A Journal of Policy Development and Research</w:t>
      </w:r>
      <w:r w:rsidRPr="003E1FED">
        <w:t xml:space="preserve">, Vol. 15, Num. 3. U.S. Dept. of Housing and Urban Dev., Office of Policy Dev. and Research. (2013) </w:t>
      </w:r>
      <w:r w:rsidRPr="003E1FED">
        <w:rPr>
          <w:i/>
        </w:rPr>
        <w:t xml:space="preserve">Available at </w:t>
      </w:r>
      <w:hyperlink r:id="rId29" w:history="1">
        <w:r w:rsidRPr="003E1FED">
          <w:rPr>
            <w:rStyle w:val="Hyperlink"/>
          </w:rPr>
          <w:t>https://www.huduser.gov/portal/periodicals/cityscpe/vol15num3/ch3.pdf</w:t>
        </w:r>
      </w:hyperlink>
      <w:r w:rsidRPr="003E1FED">
        <w:t>.</w:t>
      </w:r>
    </w:p>
  </w:footnote>
  <w:footnote w:id="31">
    <w:p w14:paraId="60C35F4E" w14:textId="512B47CA" w:rsidR="00F8149A" w:rsidRPr="003E1FED" w:rsidRDefault="00F8149A" w:rsidP="00F8149A">
      <w:pPr>
        <w:pStyle w:val="NormalWeb"/>
        <w:spacing w:before="0" w:beforeAutospacing="0"/>
        <w:contextualSpacing/>
        <w:jc w:val="both"/>
        <w:rPr>
          <w:sz w:val="20"/>
          <w:szCs w:val="20"/>
        </w:rPr>
      </w:pPr>
      <w:r w:rsidRPr="003E1FED">
        <w:rPr>
          <w:rStyle w:val="FootnoteReference"/>
          <w:sz w:val="20"/>
          <w:szCs w:val="20"/>
        </w:rPr>
        <w:footnoteRef/>
      </w:r>
      <w:r w:rsidRPr="003E1FED">
        <w:rPr>
          <w:sz w:val="20"/>
          <w:szCs w:val="20"/>
        </w:rPr>
        <w:t xml:space="preserve"> Nelson, Marta, et al.</w:t>
      </w:r>
      <w:r w:rsidR="002C109D">
        <w:rPr>
          <w:sz w:val="20"/>
          <w:szCs w:val="20"/>
        </w:rPr>
        <w:t>,</w:t>
      </w:r>
      <w:r w:rsidRPr="003E1FED">
        <w:rPr>
          <w:sz w:val="20"/>
          <w:szCs w:val="20"/>
        </w:rPr>
        <w:t xml:space="preserve"> </w:t>
      </w:r>
      <w:r w:rsidRPr="00203E72">
        <w:rPr>
          <w:i/>
          <w:sz w:val="20"/>
          <w:szCs w:val="20"/>
        </w:rPr>
        <w:t xml:space="preserve">The First Month Out </w:t>
      </w:r>
      <w:r w:rsidR="002C109D" w:rsidRPr="00203E72">
        <w:rPr>
          <w:i/>
          <w:iCs/>
          <w:sz w:val="20"/>
          <w:szCs w:val="20"/>
        </w:rPr>
        <w:t>–</w:t>
      </w:r>
      <w:r w:rsidRPr="00203E72">
        <w:rPr>
          <w:i/>
          <w:sz w:val="20"/>
          <w:szCs w:val="20"/>
        </w:rPr>
        <w:t xml:space="preserve"> Post</w:t>
      </w:r>
      <w:r w:rsidR="002C109D" w:rsidRPr="00203E72">
        <w:rPr>
          <w:i/>
          <w:iCs/>
          <w:sz w:val="20"/>
          <w:szCs w:val="20"/>
        </w:rPr>
        <w:t xml:space="preserve"> </w:t>
      </w:r>
      <w:r w:rsidRPr="00203E72">
        <w:rPr>
          <w:i/>
          <w:sz w:val="20"/>
          <w:szCs w:val="20"/>
        </w:rPr>
        <w:t>Incarceration Experiences in New York City</w:t>
      </w:r>
      <w:r w:rsidR="002C109D">
        <w:rPr>
          <w:sz w:val="20"/>
          <w:szCs w:val="20"/>
        </w:rPr>
        <w:t>,</w:t>
      </w:r>
      <w:r w:rsidRPr="003E1FED">
        <w:rPr>
          <w:sz w:val="20"/>
          <w:szCs w:val="20"/>
        </w:rPr>
        <w:t xml:space="preserve"> </w:t>
      </w:r>
      <w:r>
        <w:rPr>
          <w:sz w:val="20"/>
          <w:szCs w:val="20"/>
        </w:rPr>
        <w:t>Vera Institute.</w:t>
      </w:r>
      <w:r w:rsidRPr="003E1FED">
        <w:rPr>
          <w:sz w:val="20"/>
          <w:szCs w:val="20"/>
        </w:rPr>
        <w:t xml:space="preserve"> (Sept 1999) </w:t>
      </w:r>
      <w:r w:rsidRPr="003E1FED">
        <w:rPr>
          <w:i/>
          <w:sz w:val="20"/>
          <w:szCs w:val="20"/>
        </w:rPr>
        <w:t xml:space="preserve">Available at </w:t>
      </w:r>
      <w:hyperlink r:id="rId30" w:history="1">
        <w:r w:rsidRPr="003E1FED">
          <w:rPr>
            <w:rStyle w:val="Hyperlink"/>
            <w:sz w:val="20"/>
            <w:szCs w:val="20"/>
          </w:rPr>
          <w:t>https://www.vera.org/downloads/Publications/the-first-month-out-post-incarceration-experiences-in-new-york-city/legacy_downloads/first_month_out.pdf</w:t>
        </w:r>
      </w:hyperlink>
      <w:r w:rsidRPr="003E1FED">
        <w:rPr>
          <w:sz w:val="20"/>
          <w:szCs w:val="20"/>
        </w:rPr>
        <w:t xml:space="preserve">. </w:t>
      </w:r>
    </w:p>
  </w:footnote>
  <w:footnote w:id="32">
    <w:p w14:paraId="29027E81" w14:textId="5C082C25" w:rsidR="00F9521E" w:rsidRDefault="00F9521E">
      <w:pPr>
        <w:pStyle w:val="FootnoteText"/>
      </w:pPr>
      <w:r>
        <w:rPr>
          <w:rStyle w:val="FootnoteReference"/>
        </w:rPr>
        <w:footnoteRef/>
      </w:r>
      <w:r>
        <w:t xml:space="preserve"> </w:t>
      </w:r>
      <w:r w:rsidR="00710438">
        <w:t>Admin. Code §</w:t>
      </w:r>
      <w:r w:rsidR="006350D3">
        <w:t>§</w:t>
      </w:r>
      <w:r w:rsidR="00710438">
        <w:t xml:space="preserve"> </w:t>
      </w:r>
      <w:r w:rsidR="006350D3">
        <w:t>8-102</w:t>
      </w:r>
      <w:r w:rsidR="00940065">
        <w:t xml:space="preserve">, </w:t>
      </w:r>
      <w:r w:rsidR="00710438">
        <w:t>8-107</w:t>
      </w:r>
      <w:r w:rsidR="006008EA">
        <w:t>(10)</w:t>
      </w:r>
      <w:r w:rsidR="00577B99">
        <w:t xml:space="preserve">; </w:t>
      </w:r>
      <w:r w:rsidR="0032133A">
        <w:t>CCHR, “</w:t>
      </w:r>
      <w:r w:rsidR="0032133A" w:rsidRPr="0032133A">
        <w:t>Fair Chance Act in Employment</w:t>
      </w:r>
      <w:r w:rsidR="0032133A">
        <w:t xml:space="preserve">,” </w:t>
      </w:r>
      <w:hyperlink r:id="rId31" w:history="1">
        <w:r w:rsidR="0078455A" w:rsidRPr="0091473F">
          <w:rPr>
            <w:rStyle w:val="Hyperlink"/>
          </w:rPr>
          <w:t>https://www.nyc.gov/site/cchr/media/fair-chance-act-campaign.page</w:t>
        </w:r>
      </w:hyperlink>
      <w:r w:rsidR="0078455A">
        <w:t xml:space="preserve"> (visited April 22,</w:t>
      </w:r>
      <w:r w:rsidR="00324B8E">
        <w:t xml:space="preserve"> 2026</w:t>
      </w:r>
      <w:r w:rsidR="0078455A">
        <w:t>)</w:t>
      </w:r>
      <w:r w:rsidR="00324B8E">
        <w:t>.</w:t>
      </w:r>
    </w:p>
  </w:footnote>
  <w:footnote w:id="33">
    <w:p w14:paraId="1F85F15B" w14:textId="366667FD" w:rsidR="00E87C47" w:rsidRDefault="00E87C47">
      <w:pPr>
        <w:pStyle w:val="FootnoteText"/>
      </w:pPr>
      <w:r>
        <w:rPr>
          <w:rStyle w:val="FootnoteReference"/>
        </w:rPr>
        <w:footnoteRef/>
      </w:r>
      <w:r>
        <w:t xml:space="preserve"> Admin. Code §§ 8-102, 8-107(</w:t>
      </w:r>
      <w:r w:rsidR="008F0693">
        <w:t>5</w:t>
      </w:r>
      <w:r>
        <w:t>)</w:t>
      </w:r>
      <w:r w:rsidR="008F0693">
        <w:t xml:space="preserve">(o); CCHR, </w:t>
      </w:r>
      <w:r w:rsidR="00731DE7">
        <w:t>“</w:t>
      </w:r>
      <w:r w:rsidR="00731DE7" w:rsidRPr="00731DE7">
        <w:t>Fair Chance Act in Housing</w:t>
      </w:r>
      <w:r w:rsidR="00731DE7">
        <w:t xml:space="preserve">,” </w:t>
      </w:r>
      <w:hyperlink r:id="rId32" w:history="1">
        <w:r w:rsidR="000705A9" w:rsidRPr="0091473F">
          <w:rPr>
            <w:rStyle w:val="Hyperlink"/>
          </w:rPr>
          <w:t>https://www.nyc.gov/site/cchr/media/fair-chance-housing-campaign.page</w:t>
        </w:r>
      </w:hyperlink>
      <w:r w:rsidR="000705A9">
        <w:t xml:space="preserve"> (visited April 22, 2026)</w:t>
      </w:r>
      <w:r w:rsidR="008F0693">
        <w:t>.</w:t>
      </w:r>
    </w:p>
  </w:footnote>
  <w:footnote w:id="34">
    <w:p w14:paraId="5F72DA1A" w14:textId="77FF2076" w:rsidR="00667CE0" w:rsidRDefault="00667CE0">
      <w:pPr>
        <w:pStyle w:val="FootnoteText"/>
      </w:pPr>
      <w:r>
        <w:rPr>
          <w:rStyle w:val="FootnoteReference"/>
        </w:rPr>
        <w:footnoteRef/>
      </w:r>
      <w:r>
        <w:t xml:space="preserve"> </w:t>
      </w:r>
      <w:r w:rsidR="00206B26">
        <w:t xml:space="preserve">N.Y. </w:t>
      </w:r>
      <w:r w:rsidR="00206B26" w:rsidRPr="00206B26">
        <w:t xml:space="preserve">COR </w:t>
      </w:r>
      <w:r w:rsidR="00206B26">
        <w:t xml:space="preserve">Chpt. </w:t>
      </w:r>
      <w:r w:rsidR="00206B26" w:rsidRPr="00206B26">
        <w:t>43</w:t>
      </w:r>
      <w:r w:rsidR="00206B26">
        <w:t>, Art. 23-A</w:t>
      </w:r>
      <w:r w:rsidR="00007D94">
        <w:t xml:space="preserve">; </w:t>
      </w:r>
      <w:r w:rsidR="001D5CA4" w:rsidRPr="001D5CA4">
        <w:t>NYHRL §</w:t>
      </w:r>
      <w:r w:rsidR="001D5CA4">
        <w:t xml:space="preserve"> </w:t>
      </w:r>
      <w:r w:rsidR="001D5CA4" w:rsidRPr="001D5CA4">
        <w:t>296.16</w:t>
      </w:r>
      <w:r w:rsidR="001D5CA4">
        <w:t>.</w:t>
      </w:r>
    </w:p>
  </w:footnote>
  <w:footnote w:id="35">
    <w:p w14:paraId="09CC61A8" w14:textId="4B03FD08" w:rsidR="00CD3910" w:rsidRPr="00A4556F" w:rsidRDefault="00CD3910" w:rsidP="00CD3910">
      <w:pPr>
        <w:pStyle w:val="FootnoteText"/>
      </w:pPr>
      <w:r>
        <w:rPr>
          <w:rStyle w:val="FootnoteReference"/>
        </w:rPr>
        <w:footnoteRef/>
      </w:r>
      <w:r>
        <w:t xml:space="preserve"> </w:t>
      </w:r>
      <w:r>
        <w:rPr>
          <w:i/>
          <w:iCs/>
        </w:rPr>
        <w:t>See</w:t>
      </w:r>
      <w:r w:rsidR="00B47318">
        <w:rPr>
          <w:i/>
          <w:iCs/>
        </w:rPr>
        <w:t>, e.g.</w:t>
      </w:r>
      <w:r w:rsidR="00B47318">
        <w:t xml:space="preserve">, </w:t>
      </w:r>
      <w:r>
        <w:t xml:space="preserve">N.Y. Dept. of Labor, </w:t>
      </w:r>
      <w:r w:rsidRPr="00262341">
        <w:rPr>
          <w:i/>
          <w:iCs/>
        </w:rPr>
        <w:t>Justice Involvement and Finding Employment</w:t>
      </w:r>
      <w:r>
        <w:t xml:space="preserve"> (explaining additional </w:t>
      </w:r>
      <w:r w:rsidR="00396C62">
        <w:t>requirements</w:t>
      </w:r>
      <w:r>
        <w:t xml:space="preserve"> that apply only in New York City), </w:t>
      </w:r>
      <w:hyperlink r:id="rId33" w:history="1">
        <w:r w:rsidRPr="0091473F">
          <w:rPr>
            <w:rStyle w:val="Hyperlink"/>
          </w:rPr>
          <w:t>https://dol.ny.gov/individuals-who-are-justice-involved</w:t>
        </w:r>
      </w:hyperlink>
      <w:r>
        <w:t xml:space="preserve"> (visited April 22, 2026). </w:t>
      </w:r>
    </w:p>
  </w:footnote>
  <w:footnote w:id="36">
    <w:p w14:paraId="4C7389A0" w14:textId="495D4E02" w:rsidR="00E84BD0" w:rsidRDefault="00E84BD0">
      <w:pPr>
        <w:pStyle w:val="FootnoteText"/>
      </w:pPr>
      <w:r>
        <w:rPr>
          <w:rStyle w:val="FootnoteReference"/>
        </w:rPr>
        <w:footnoteRef/>
      </w:r>
      <w:r>
        <w:t xml:space="preserve"> </w:t>
      </w:r>
      <w:r w:rsidR="006A7C2D">
        <w:rPr>
          <w:i/>
          <w:iCs/>
        </w:rPr>
        <w:t xml:space="preserve">See </w:t>
      </w:r>
      <w:r w:rsidR="00EF110A">
        <w:t xml:space="preserve">U.S. Equal Employment Opportunity Comm’n, </w:t>
      </w:r>
      <w:r w:rsidR="007C2626" w:rsidRPr="007C2626">
        <w:rPr>
          <w:i/>
          <w:iCs/>
        </w:rPr>
        <w:t>Arrest and Conviction Records: Resources for Job Seekers, Workers and Employers</w:t>
      </w:r>
      <w:r w:rsidR="007C2626">
        <w:t xml:space="preserve">, </w:t>
      </w:r>
      <w:hyperlink r:id="rId34" w:history="1">
        <w:r w:rsidR="00C013D9" w:rsidRPr="0091473F">
          <w:rPr>
            <w:rStyle w:val="Hyperlink"/>
          </w:rPr>
          <w:t>https://www.eeoc.gov/arrestandconviction</w:t>
        </w:r>
      </w:hyperlink>
      <w:r w:rsidR="00C013D9">
        <w:t xml:space="preserve"> (accessed April 22, 2026);</w:t>
      </w:r>
      <w:r w:rsidR="007C2626">
        <w:t xml:space="preserve"> </w:t>
      </w:r>
      <w:r w:rsidR="00A528E6" w:rsidRPr="00A528E6">
        <w:t>Fair Housing Act of 1968 (Title VIII of 1968 Civil Right Act), Pub. L. No. 90-284, 82 Stat. 81 (codified as amended at 42 U.S.C. §§ 3601–3619, 3631).</w:t>
      </w:r>
      <w:r w:rsidR="00700DEE">
        <w:t xml:space="preserve"> </w:t>
      </w:r>
      <w:r w:rsidR="00700DEE">
        <w:rPr>
          <w:i/>
          <w:iCs/>
        </w:rPr>
        <w:t xml:space="preserve">See generally </w:t>
      </w:r>
      <w:r w:rsidR="006A7C2D" w:rsidRPr="003252F3">
        <w:t xml:space="preserve">Sandhya Kajeepta, </w:t>
      </w:r>
      <w:r w:rsidR="006A7C2D" w:rsidRPr="003252F3">
        <w:rPr>
          <w:i/>
          <w:iCs/>
        </w:rPr>
        <w:t>Barred from Housing: The Discriminatory Impacts of Criminal History Restrictions in Tenant Screening</w:t>
      </w:r>
      <w:r w:rsidR="006A7C2D" w:rsidRPr="003252F3">
        <w:t xml:space="preserve">, Thurgood Marshall Institute (April 2025), </w:t>
      </w:r>
      <w:hyperlink r:id="rId35" w:history="1">
        <w:r w:rsidR="006A7C2D" w:rsidRPr="003252F3">
          <w:rPr>
            <w:rStyle w:val="Hyperlink"/>
          </w:rPr>
          <w:t>https://tminstituteldf.org/criminal-background-checks-housing-barrier/</w:t>
        </w:r>
      </w:hyperlink>
      <w:r w:rsidR="006A7C2D">
        <w:t>.</w:t>
      </w:r>
    </w:p>
  </w:footnote>
  <w:footnote w:id="37">
    <w:p w14:paraId="2F0EF7CE" w14:textId="30EA0E0B" w:rsidR="00AB0AEB" w:rsidRDefault="00AB0AEB">
      <w:pPr>
        <w:pStyle w:val="FootnoteText"/>
      </w:pPr>
      <w:r>
        <w:rPr>
          <w:rStyle w:val="FootnoteReference"/>
        </w:rPr>
        <w:footnoteRef/>
      </w:r>
      <w:r>
        <w:t xml:space="preserve"> </w:t>
      </w:r>
      <w:r w:rsidR="000C3AB5">
        <w:rPr>
          <w:i/>
          <w:iCs/>
        </w:rPr>
        <w:t xml:space="preserve">See </w:t>
      </w:r>
      <w:r w:rsidR="008E4A93" w:rsidRPr="003252F3">
        <w:t xml:space="preserve">Sandhya Kajeepta, </w:t>
      </w:r>
      <w:r w:rsidR="008E4A93" w:rsidRPr="003252F3">
        <w:rPr>
          <w:i/>
          <w:iCs/>
        </w:rPr>
        <w:t>Barred from Housing: The Discriminatory Impacts of Criminal History Restrictions in Tenant Screening</w:t>
      </w:r>
      <w:r w:rsidR="008E4A93" w:rsidRPr="003252F3">
        <w:t>, Thurgood Marshall Institute (April 2025),</w:t>
      </w:r>
      <w:r w:rsidR="001D2C5E" w:rsidRPr="001D2C5E">
        <w:t xml:space="preserve"> </w:t>
      </w:r>
      <w:hyperlink r:id="rId36" w:anchor="part4" w:history="1">
        <w:r w:rsidR="001D2C5E" w:rsidRPr="0091473F">
          <w:rPr>
            <w:rStyle w:val="Hyperlink"/>
          </w:rPr>
          <w:t>https://tminstituteldf.org/criminal-background-checks-housing-barrier/#part4</w:t>
        </w:r>
      </w:hyperlink>
      <w:r w:rsidR="005035EB">
        <w:t>;</w:t>
      </w:r>
      <w:r w:rsidR="00156A9A">
        <w:t xml:space="preserve"> Julian Mark,</w:t>
      </w:r>
      <w:r w:rsidR="005035EB">
        <w:t xml:space="preserve"> </w:t>
      </w:r>
      <w:r w:rsidR="005035EB" w:rsidRPr="00156A9A">
        <w:rPr>
          <w:i/>
          <w:iCs/>
        </w:rPr>
        <w:t>Trump officials start dismantling civil rights offices, as part of DOGE’s secret plan</w:t>
      </w:r>
      <w:r w:rsidR="007136B4">
        <w:t xml:space="preserve">, </w:t>
      </w:r>
      <w:r w:rsidR="00156A9A">
        <w:t xml:space="preserve">Wash. </w:t>
      </w:r>
      <w:r w:rsidR="007136B4">
        <w:t xml:space="preserve">Post, Feb. 28, 2025, </w:t>
      </w:r>
      <w:hyperlink r:id="rId37" w:history="1">
        <w:r w:rsidR="00A45818" w:rsidRPr="0091473F">
          <w:rPr>
            <w:rStyle w:val="Hyperlink"/>
          </w:rPr>
          <w:t>https://www.washingtonpost.com/nation/2025/02/28/doge-trump-civil-rights-office-closing-eeoc/</w:t>
        </w:r>
      </w:hyperlink>
      <w:r w:rsidR="00A45818">
        <w:t xml:space="preserve">. </w:t>
      </w:r>
    </w:p>
  </w:footnote>
  <w:footnote w:id="38">
    <w:p w14:paraId="63C3EC7D" w14:textId="2B704FD2" w:rsidR="00AD2AA2" w:rsidRPr="006A70AB" w:rsidRDefault="00AD2AA2">
      <w:pPr>
        <w:pStyle w:val="FootnoteText"/>
      </w:pPr>
      <w:r>
        <w:rPr>
          <w:rStyle w:val="FootnoteReference"/>
        </w:rPr>
        <w:footnoteRef/>
      </w:r>
      <w:r>
        <w:t xml:space="preserve"> This is because </w:t>
      </w:r>
      <w:r w:rsidR="00BC1C54">
        <w:t xml:space="preserve">human rights law violations are most often inflicted on already-marginalized individuals and groups who frequently lack the resources to enforce their rights through private action. </w:t>
      </w:r>
      <w:r w:rsidR="005415DA">
        <w:rPr>
          <w:i/>
          <w:iCs/>
        </w:rPr>
        <w:t>C.f.</w:t>
      </w:r>
      <w:r w:rsidR="00BC1C54">
        <w:rPr>
          <w:i/>
          <w:iCs/>
        </w:rPr>
        <w:t xml:space="preserve"> </w:t>
      </w:r>
      <w:r w:rsidR="00D07C6E" w:rsidRPr="00D07C6E">
        <w:t xml:space="preserve">Sandya Venugopal, </w:t>
      </w:r>
      <w:r w:rsidR="00BC1C54" w:rsidRPr="00BC1C54">
        <w:rPr>
          <w:i/>
          <w:iCs/>
        </w:rPr>
        <w:t>State and Local Responses to the Gutting of Federal Health Agencies: Impacts on Public Health, Human Rights, and Social Justice</w:t>
      </w:r>
      <w:r w:rsidR="00D07C6E">
        <w:t>, Am. Bar Assoc.</w:t>
      </w:r>
      <w:r w:rsidR="006A70AB">
        <w:t xml:space="preserve"> (</w:t>
      </w:r>
      <w:r w:rsidR="006A70AB" w:rsidRPr="00BC1C54">
        <w:t>Nov 05, 2025</w:t>
      </w:r>
      <w:r w:rsidR="006A70AB">
        <w:t xml:space="preserve">), </w:t>
      </w:r>
      <w:hyperlink r:id="rId38" w:history="1">
        <w:r w:rsidR="008D1C8C" w:rsidRPr="0091473F">
          <w:rPr>
            <w:rStyle w:val="Hyperlink"/>
          </w:rPr>
          <w:t>https://www.americanbar.org/groups/crsj/resources/human-rights/2025-october/state-local-responses-health-agencies/</w:t>
        </w:r>
      </w:hyperlink>
      <w:r w:rsidR="008D1C8C">
        <w:t xml:space="preserve">. </w:t>
      </w:r>
    </w:p>
  </w:footnote>
  <w:footnote w:id="39">
    <w:p w14:paraId="660DD429" w14:textId="1021262E" w:rsidR="00C805E4" w:rsidRPr="00DB484C" w:rsidRDefault="00C805E4" w:rsidP="00C805E4">
      <w:pPr>
        <w:pStyle w:val="FootnoteText"/>
      </w:pPr>
      <w:r>
        <w:rPr>
          <w:rStyle w:val="FootnoteReference"/>
        </w:rPr>
        <w:footnoteRef/>
      </w:r>
      <w:r>
        <w:t xml:space="preserve"> </w:t>
      </w:r>
      <w:r>
        <w:rPr>
          <w:i/>
          <w:iCs/>
        </w:rPr>
        <w:t>See</w:t>
      </w:r>
      <w:r>
        <w:t xml:space="preserve"> Gaines at 553</w:t>
      </w:r>
      <w:r w:rsidR="005C3F54">
        <w:t xml:space="preserve">; </w:t>
      </w:r>
      <w:r w:rsidR="00195BF2">
        <w:rPr>
          <w:i/>
          <w:iCs/>
        </w:rPr>
        <w:t>See</w:t>
      </w:r>
      <w:r w:rsidR="00195BF2">
        <w:t xml:space="preserve"> </w:t>
      </w:r>
      <w:r w:rsidR="00195BF2" w:rsidRPr="001B075F">
        <w:t xml:space="preserve">Sam Atherton, Katie Elder, Katie Fallon, </w:t>
      </w:r>
      <w:r w:rsidR="00195BF2">
        <w:t xml:space="preserve">&amp; </w:t>
      </w:r>
      <w:r w:rsidR="00195BF2" w:rsidRPr="001B075F">
        <w:t>Kelly Walsh</w:t>
      </w:r>
      <w:r w:rsidR="00195BF2">
        <w:t>,</w:t>
      </w:r>
      <w:r w:rsidR="00195BF2" w:rsidRPr="00923EEE">
        <w:rPr>
          <w:i/>
          <w:iCs/>
        </w:rPr>
        <w:t xml:space="preserve"> Fair Chance Housing Laws Implementation Lessons and Perceived Impact</w:t>
      </w:r>
      <w:r w:rsidR="00195BF2">
        <w:t>, Urban Institute</w:t>
      </w:r>
      <w:r w:rsidR="00195BF2" w:rsidRPr="001B075F">
        <w:t xml:space="preserve"> </w:t>
      </w:r>
      <w:r w:rsidR="00195BF2">
        <w:t>(</w:t>
      </w:r>
      <w:r w:rsidR="00195BF2" w:rsidRPr="001B075F">
        <w:t>July 2025</w:t>
      </w:r>
      <w:r w:rsidR="00195BF2">
        <w:t xml:space="preserve">), </w:t>
      </w:r>
      <w:hyperlink r:id="rId39" w:history="1">
        <w:r w:rsidR="00195BF2" w:rsidRPr="0091473F">
          <w:rPr>
            <w:rStyle w:val="Hyperlink"/>
          </w:rPr>
          <w:t>https://www.urban.org/sites/default/files/2025-07/Final_Fair%20Chance%20Housing%20Laws%20brief.pdf</w:t>
        </w:r>
      </w:hyperlink>
      <w:r w:rsidR="00195BF2">
        <w:t>.</w:t>
      </w:r>
      <w:r>
        <w:t>.</w:t>
      </w:r>
    </w:p>
  </w:footnote>
  <w:footnote w:id="40">
    <w:p w14:paraId="27E40AF0" w14:textId="7760A318" w:rsidR="00B83E7D" w:rsidRPr="00074E2B" w:rsidRDefault="00B83E7D" w:rsidP="00B83E7D">
      <w:pPr>
        <w:pStyle w:val="FootnoteText"/>
        <w:rPr>
          <w:i/>
          <w:iCs/>
        </w:rPr>
      </w:pPr>
      <w:r>
        <w:rPr>
          <w:rStyle w:val="FootnoteReference"/>
        </w:rPr>
        <w:footnoteRef/>
      </w:r>
      <w:r>
        <w:t xml:space="preserve"> </w:t>
      </w:r>
      <w:r w:rsidR="000E321B">
        <w:t xml:space="preserve">Such states include </w:t>
      </w:r>
      <w:r w:rsidR="000E321B" w:rsidRPr="000E321B">
        <w:t>California, Illinois, Massachusetts, and New Jersey</w:t>
      </w:r>
      <w:r w:rsidR="000E321B">
        <w:t>.</w:t>
      </w:r>
      <w:r w:rsidR="000E321B" w:rsidRPr="000E321B">
        <w:t xml:space="preserve"> </w:t>
      </w:r>
      <w:r>
        <w:rPr>
          <w:i/>
          <w:iCs/>
        </w:rPr>
        <w:t xml:space="preserve">See </w:t>
      </w:r>
      <w:r>
        <w:t xml:space="preserve">Caitlin T. Gaines, </w:t>
      </w:r>
      <w:r>
        <w:rPr>
          <w:i/>
          <w:iCs/>
        </w:rPr>
        <w:t>Keeping Fair Chance Laws Fair: Implications for Employers and Employees Given the Expansion and Variety of Fair Chance Laws in the United States</w:t>
      </w:r>
      <w:r>
        <w:t xml:space="preserve">, 72 </w:t>
      </w:r>
      <w:r w:rsidRPr="00105A6A">
        <w:rPr>
          <w:smallCaps/>
        </w:rPr>
        <w:t>Catholic Univ. L. R.</w:t>
      </w:r>
      <w:r>
        <w:t xml:space="preserve"> 535, 540 (2023), </w:t>
      </w:r>
      <w:hyperlink r:id="rId40" w:history="1">
        <w:r w:rsidRPr="0091473F">
          <w:rPr>
            <w:rStyle w:val="Hyperlink"/>
          </w:rPr>
          <w:t>https://scholarship.law.edu/lawreview/vol72/iss4/9/</w:t>
        </w:r>
      </w:hyperlink>
      <w:r>
        <w:t xml:space="preserve">. </w:t>
      </w:r>
    </w:p>
  </w:footnote>
  <w:footnote w:id="41">
    <w:p w14:paraId="16EB4EA6" w14:textId="74E4733B" w:rsidR="002C2598" w:rsidRDefault="002C2598" w:rsidP="002C2598">
      <w:pPr>
        <w:pStyle w:val="FootnoteText"/>
      </w:pPr>
      <w:r>
        <w:rPr>
          <w:rStyle w:val="FootnoteReference"/>
        </w:rPr>
        <w:footnoteRef/>
      </w:r>
      <w:r>
        <w:t xml:space="preserve"> </w:t>
      </w:r>
      <w:r w:rsidRPr="00074E2B">
        <w:rPr>
          <w:i/>
          <w:iCs/>
        </w:rPr>
        <w:t>Id.</w:t>
      </w:r>
      <w:r>
        <w:t xml:space="preserve"> at 541</w:t>
      </w:r>
      <w:r w:rsidR="005B2F47">
        <w:t>–542</w:t>
      </w:r>
      <w:r w:rsidR="00FD04CE">
        <w:t>.</w:t>
      </w:r>
      <w:r w:rsidR="004D4C90">
        <w:t xml:space="preserve"> </w:t>
      </w:r>
    </w:p>
  </w:footnote>
  <w:footnote w:id="42">
    <w:p w14:paraId="757509C4" w14:textId="77777777" w:rsidR="002C2598" w:rsidRPr="00074E2B" w:rsidRDefault="002C2598" w:rsidP="002C2598">
      <w:pPr>
        <w:pStyle w:val="FootnoteText"/>
        <w:rPr>
          <w:i/>
          <w:iCs/>
        </w:rPr>
      </w:pPr>
      <w:r>
        <w:rPr>
          <w:rStyle w:val="FootnoteReference"/>
        </w:rPr>
        <w:footnoteRef/>
      </w:r>
      <w:r>
        <w:t xml:space="preserve"> </w:t>
      </w:r>
      <w:r>
        <w:rPr>
          <w:i/>
          <w:iCs/>
        </w:rPr>
        <w:t xml:space="preserve">See </w:t>
      </w:r>
      <w:r>
        <w:t xml:space="preserve">Beth Avery &amp; Han Lu, </w:t>
      </w:r>
      <w:r>
        <w:rPr>
          <w:i/>
          <w:iCs/>
        </w:rPr>
        <w:t xml:space="preserve">Ban the Box: U.S. Cities, Counties, and States Adopt Fair Hiring Policies. </w:t>
      </w:r>
      <w:r>
        <w:t xml:space="preserve">National Employment Law Project. </w:t>
      </w:r>
      <w:r>
        <w:rPr>
          <w:i/>
          <w:iCs/>
        </w:rPr>
        <w:t xml:space="preserve">Available at </w:t>
      </w:r>
      <w:hyperlink r:id="rId41" w:anchor="Chart_of_Local_Fair_Chance_Policies" w:history="1">
        <w:r>
          <w:rPr>
            <w:rStyle w:val="Hyperlink"/>
          </w:rPr>
          <w:t>https://www.nelp.org/insights-research/ban-the-box-fair-chance-hiring-state-and-local-guide/#Chart_of_Local_Fair_Chance_Policies</w:t>
        </w:r>
      </w:hyperlink>
      <w:r>
        <w:t>.</w:t>
      </w:r>
    </w:p>
  </w:footnote>
  <w:footnote w:id="43">
    <w:p w14:paraId="6C2DE308" w14:textId="7B259AF6" w:rsidR="004A6455" w:rsidRDefault="004A6455">
      <w:pPr>
        <w:pStyle w:val="FootnoteText"/>
      </w:pPr>
      <w:r>
        <w:rPr>
          <w:rStyle w:val="FootnoteReference"/>
        </w:rPr>
        <w:footnoteRef/>
      </w:r>
      <w:r>
        <w:t xml:space="preserve"> </w:t>
      </w:r>
      <w:r w:rsidR="00FD04CE">
        <w:t xml:space="preserve">Many, like New York City, limit the application of these laws to employers of a minimum size. For example, the California Fair Chance Act applies to employers with five or more employees, and New Mexico’s private sector fair chance law applies to those with four or more employees. </w:t>
      </w:r>
      <w:r>
        <w:rPr>
          <w:i/>
          <w:iCs/>
        </w:rPr>
        <w:t>See</w:t>
      </w:r>
      <w:r>
        <w:t xml:space="preserve"> Gaines at </w:t>
      </w:r>
      <w:r w:rsidR="00FD04CE">
        <w:t xml:space="preserve">541–542, </w:t>
      </w:r>
      <w:r>
        <w:t>544</w:t>
      </w:r>
      <w:r w:rsidR="00FD04CE">
        <w:t>; Admin. Code § 8-102 (defining “employer” for the purposes of the Fair Chance provisions as applying only to businesses with four or more employees).</w:t>
      </w:r>
    </w:p>
  </w:footnote>
  <w:footnote w:id="44">
    <w:p w14:paraId="7DB4E5ED" w14:textId="77777777" w:rsidR="00067B5E" w:rsidRPr="00DB484C" w:rsidRDefault="00067B5E" w:rsidP="00067B5E">
      <w:pPr>
        <w:pStyle w:val="FootnoteText"/>
        <w:rPr>
          <w:i/>
          <w:iCs/>
        </w:rPr>
      </w:pPr>
      <w:r>
        <w:rPr>
          <w:rStyle w:val="FootnoteReference"/>
        </w:rPr>
        <w:footnoteRef/>
      </w:r>
      <w:r>
        <w:t xml:space="preserve"> For example, since the City of San Francisco implemented fair chance employment policies in 2013 for public sector hiring, including a requirement for a careful individualized assessment, the city government reported disqualifying only 0.731 percent of candidates in fiscal year 2022–2023. </w:t>
      </w:r>
      <w:r>
        <w:rPr>
          <w:i/>
          <w:iCs/>
        </w:rPr>
        <w:t xml:space="preserve">See </w:t>
      </w:r>
      <w:r>
        <w:t xml:space="preserve">National Employment Law Center, </w:t>
      </w:r>
      <w:r>
        <w:rPr>
          <w:i/>
          <w:iCs/>
        </w:rPr>
        <w:t>Research Supports Fair Chance Policies</w:t>
      </w:r>
      <w:r>
        <w:t xml:space="preserve">, at 6 (April 2024). </w:t>
      </w:r>
      <w:r>
        <w:rPr>
          <w:i/>
          <w:iCs/>
        </w:rPr>
        <w:t xml:space="preserve">Available at </w:t>
      </w:r>
      <w:hyperlink r:id="rId42" w:history="1">
        <w:r w:rsidRPr="00DB484C">
          <w:rPr>
            <w:rStyle w:val="Hyperlink"/>
          </w:rPr>
          <w:t>https://www.nelp.org/app/uploads/2024/04/Research-Supports-Fair-Chance-Policies-Apr.2024.pdf</w:t>
        </w:r>
      </w:hyperlink>
      <w:r w:rsidRPr="00DB484C">
        <w:t>.</w:t>
      </w:r>
      <w:r>
        <w:rPr>
          <w:i/>
          <w:iCs/>
        </w:rPr>
        <w:t xml:space="preserve"> </w:t>
      </w:r>
    </w:p>
  </w:footnote>
  <w:footnote w:id="45">
    <w:p w14:paraId="26048C35" w14:textId="77777777" w:rsidR="002C2598" w:rsidRPr="00074E2B" w:rsidRDefault="002C2598" w:rsidP="002C2598">
      <w:pPr>
        <w:pStyle w:val="FootnoteText"/>
      </w:pPr>
      <w:r>
        <w:rPr>
          <w:rStyle w:val="FootnoteReference"/>
        </w:rPr>
        <w:footnoteRef/>
      </w:r>
      <w:r>
        <w:t xml:space="preserve"> </w:t>
      </w:r>
      <w:r>
        <w:rPr>
          <w:i/>
          <w:iCs/>
        </w:rPr>
        <w:t>See</w:t>
      </w:r>
      <w:r>
        <w:t xml:space="preserve"> Gaines at 544. </w:t>
      </w:r>
    </w:p>
  </w:footnote>
  <w:footnote w:id="46">
    <w:p w14:paraId="316A35B8" w14:textId="5F26C3A4" w:rsidR="00852864" w:rsidRPr="00852864" w:rsidRDefault="00852864">
      <w:pPr>
        <w:pStyle w:val="FootnoteText"/>
        <w:rPr>
          <w:i/>
          <w:iCs/>
        </w:rPr>
      </w:pPr>
      <w:r>
        <w:rPr>
          <w:rStyle w:val="FootnoteReference"/>
        </w:rPr>
        <w:footnoteRef/>
      </w:r>
      <w:r>
        <w:t xml:space="preserve"> </w:t>
      </w:r>
      <w:r>
        <w:rPr>
          <w:i/>
          <w:iCs/>
        </w:rPr>
        <w:t xml:space="preserve">See </w:t>
      </w:r>
      <w:r w:rsidR="00054585">
        <w:t xml:space="preserve">N.Y. Dept. of Labor, </w:t>
      </w:r>
      <w:r w:rsidR="00054585" w:rsidRPr="00262341">
        <w:rPr>
          <w:i/>
          <w:iCs/>
        </w:rPr>
        <w:t>Justice Involvement and Finding Employment</w:t>
      </w:r>
      <w:r w:rsidR="00054585">
        <w:t xml:space="preserve">, </w:t>
      </w:r>
      <w:hyperlink r:id="rId43" w:history="1">
        <w:r w:rsidR="00054585" w:rsidRPr="0091473F">
          <w:rPr>
            <w:rStyle w:val="Hyperlink"/>
          </w:rPr>
          <w:t>https://dol.ny.gov/individuals-who-are-justice-involved</w:t>
        </w:r>
      </w:hyperlink>
      <w:r w:rsidR="00054585">
        <w:t xml:space="preserve"> (visited April 22, 2026).</w:t>
      </w:r>
    </w:p>
  </w:footnote>
  <w:footnote w:id="47">
    <w:p w14:paraId="22FDBBD5" w14:textId="635CA500" w:rsidR="3C5767F7" w:rsidRDefault="3C5767F7" w:rsidP="3C5767F7">
      <w:pPr>
        <w:pStyle w:val="NormalWeb"/>
        <w:spacing w:before="0" w:beforeAutospacing="0" w:after="0" w:afterAutospacing="0"/>
        <w:contextualSpacing/>
        <w:jc w:val="both"/>
        <w:rPr>
          <w:sz w:val="20"/>
          <w:szCs w:val="20"/>
        </w:rPr>
      </w:pPr>
      <w:r w:rsidRPr="3C5767F7">
        <w:rPr>
          <w:rStyle w:val="FootnoteReference"/>
          <w:sz w:val="20"/>
          <w:szCs w:val="20"/>
        </w:rPr>
        <w:footnoteRef/>
      </w:r>
      <w:r w:rsidRPr="3C5767F7">
        <w:rPr>
          <w:sz w:val="20"/>
          <w:szCs w:val="20"/>
        </w:rPr>
        <w:t xml:space="preserve"> Office of Policy Development and Research. </w:t>
      </w:r>
      <w:r w:rsidRPr="3C5767F7">
        <w:rPr>
          <w:i/>
          <w:iCs/>
          <w:sz w:val="20"/>
          <w:szCs w:val="20"/>
        </w:rPr>
        <w:t>Tenant Screening With Criminal Background Checks: Predictions And Perceptions Are Not Causality</w:t>
      </w:r>
      <w:r w:rsidRPr="3C5767F7">
        <w:rPr>
          <w:sz w:val="20"/>
          <w:szCs w:val="20"/>
        </w:rPr>
        <w:t xml:space="preserve">. </w:t>
      </w:r>
      <w:r w:rsidRPr="3C5767F7">
        <w:rPr>
          <w:smallCaps/>
          <w:sz w:val="20"/>
          <w:szCs w:val="20"/>
        </w:rPr>
        <w:t>Dept. of Housing and Urban Development</w:t>
      </w:r>
      <w:r w:rsidRPr="3C5767F7">
        <w:rPr>
          <w:sz w:val="20"/>
          <w:szCs w:val="20"/>
        </w:rPr>
        <w:t xml:space="preserve"> (May 17, 2022)</w:t>
      </w:r>
      <w:r w:rsidR="00435404">
        <w:rPr>
          <w:sz w:val="20"/>
          <w:szCs w:val="20"/>
        </w:rPr>
        <w:t>,</w:t>
      </w:r>
      <w:r w:rsidRPr="3C5767F7">
        <w:rPr>
          <w:sz w:val="20"/>
          <w:szCs w:val="20"/>
        </w:rPr>
        <w:t xml:space="preserve"> </w:t>
      </w:r>
      <w:hyperlink r:id="rId44">
        <w:r w:rsidRPr="3C5767F7">
          <w:rPr>
            <w:rStyle w:val="Hyperlink"/>
            <w:sz w:val="20"/>
            <w:szCs w:val="20"/>
          </w:rPr>
          <w:t>https://www.huduser.gov/portal/pdredge/pdr-edge-frm-asst-sec-051722.html</w:t>
        </w:r>
      </w:hyperlink>
      <w:r w:rsidRPr="3C5767F7">
        <w:rPr>
          <w:sz w:val="20"/>
          <w:szCs w:val="20"/>
        </w:rPr>
        <w:t xml:space="preserve">; </w:t>
      </w:r>
      <w:r w:rsidRPr="3C5767F7">
        <w:rPr>
          <w:i/>
          <w:iCs/>
          <w:sz w:val="20"/>
          <w:szCs w:val="20"/>
        </w:rPr>
        <w:t>Ban the Box and Beyond: How to Comply with State Laws and Local Ordinances</w:t>
      </w:r>
      <w:r w:rsidRPr="3C5767F7">
        <w:rPr>
          <w:sz w:val="20"/>
          <w:szCs w:val="20"/>
        </w:rPr>
        <w:t xml:space="preserve">. </w:t>
      </w:r>
      <w:r w:rsidRPr="3C5767F7">
        <w:rPr>
          <w:smallCaps/>
          <w:sz w:val="20"/>
          <w:szCs w:val="20"/>
        </w:rPr>
        <w:t>Rent Manager</w:t>
      </w:r>
      <w:r w:rsidRPr="3C5767F7">
        <w:rPr>
          <w:sz w:val="20"/>
          <w:szCs w:val="20"/>
        </w:rPr>
        <w:t xml:space="preserve"> (Sept 25. 2019)</w:t>
      </w:r>
      <w:r w:rsidR="00435404">
        <w:rPr>
          <w:sz w:val="20"/>
          <w:szCs w:val="20"/>
        </w:rPr>
        <w:t>,</w:t>
      </w:r>
      <w:r w:rsidRPr="3C5767F7">
        <w:rPr>
          <w:sz w:val="20"/>
          <w:szCs w:val="20"/>
        </w:rPr>
        <w:t xml:space="preserve"> </w:t>
      </w:r>
      <w:hyperlink r:id="rId45">
        <w:r w:rsidRPr="3C5767F7">
          <w:rPr>
            <w:rStyle w:val="Hyperlink"/>
            <w:sz w:val="20"/>
            <w:szCs w:val="20"/>
          </w:rPr>
          <w:t>https://www.rentmanager.com/ban-the-box-and-beyond-how-to-comply-with-state-laws-and-local-ordinances/</w:t>
        </w:r>
      </w:hyperlink>
      <w:r w:rsidRPr="3C5767F7">
        <w:rPr>
          <w:sz w:val="20"/>
          <w:szCs w:val="20"/>
        </w:rPr>
        <w:t xml:space="preserve">.  </w:t>
      </w:r>
    </w:p>
  </w:footnote>
  <w:footnote w:id="48">
    <w:p w14:paraId="37832902" w14:textId="77777777" w:rsidR="3C5767F7" w:rsidRDefault="3C5767F7" w:rsidP="3C5767F7">
      <w:pPr>
        <w:pStyle w:val="NormalWeb"/>
        <w:spacing w:before="0" w:beforeAutospacing="0" w:after="0" w:afterAutospacing="0"/>
        <w:contextualSpacing/>
        <w:jc w:val="both"/>
        <w:rPr>
          <w:sz w:val="20"/>
          <w:szCs w:val="20"/>
        </w:rPr>
      </w:pPr>
      <w:r w:rsidRPr="3C5767F7">
        <w:rPr>
          <w:rStyle w:val="FootnoteReference"/>
          <w:sz w:val="20"/>
          <w:szCs w:val="20"/>
        </w:rPr>
        <w:footnoteRef/>
      </w:r>
      <w:r w:rsidRPr="3C5767F7">
        <w:rPr>
          <w:sz w:val="20"/>
          <w:szCs w:val="20"/>
        </w:rPr>
        <w:t xml:space="preserve"> </w:t>
      </w:r>
      <w:r w:rsidRPr="3C5767F7">
        <w:rPr>
          <w:i/>
          <w:iCs/>
          <w:sz w:val="20"/>
          <w:szCs w:val="20"/>
        </w:rPr>
        <w:t>Fair Chance in Housing Act</w:t>
      </w:r>
      <w:r w:rsidRPr="3C5767F7">
        <w:rPr>
          <w:sz w:val="20"/>
          <w:szCs w:val="20"/>
        </w:rPr>
        <w:t xml:space="preserve">. N.J.S.A. §§ 46:8-52 to 46:8-54. </w:t>
      </w:r>
      <w:r w:rsidRPr="3C5767F7">
        <w:rPr>
          <w:i/>
          <w:iCs/>
          <w:sz w:val="20"/>
          <w:szCs w:val="20"/>
        </w:rPr>
        <w:t>Available at</w:t>
      </w:r>
      <w:r w:rsidRPr="3C5767F7">
        <w:rPr>
          <w:sz w:val="20"/>
          <w:szCs w:val="20"/>
        </w:rPr>
        <w:t xml:space="preserve"> </w:t>
      </w:r>
      <w:hyperlink r:id="rId46">
        <w:r w:rsidRPr="3C5767F7">
          <w:rPr>
            <w:rStyle w:val="Hyperlink"/>
            <w:sz w:val="20"/>
            <w:szCs w:val="20"/>
          </w:rPr>
          <w:t>https://www.njoag.gov/wp-content/uploads/2021/12/Fair-Chance-in-Housing-Act_NJSA-46-8-52-et-seq.pdf</w:t>
        </w:r>
      </w:hyperlink>
      <w:r w:rsidRPr="3C5767F7">
        <w:rPr>
          <w:rStyle w:val="Hyperlink"/>
          <w:sz w:val="20"/>
          <w:szCs w:val="20"/>
        </w:rPr>
        <w:t xml:space="preserve">; </w:t>
      </w:r>
      <w:r w:rsidRPr="3C5767F7">
        <w:rPr>
          <w:rStyle w:val="Hyperlink"/>
          <w:i/>
          <w:iCs/>
          <w:sz w:val="20"/>
          <w:szCs w:val="20"/>
        </w:rPr>
        <w:t>see also</w:t>
      </w:r>
      <w:r w:rsidRPr="3C5767F7">
        <w:rPr>
          <w:rStyle w:val="Hyperlink"/>
          <w:sz w:val="20"/>
          <w:szCs w:val="20"/>
        </w:rPr>
        <w:t xml:space="preserve"> Klazema, Michael. </w:t>
      </w:r>
      <w:r w:rsidRPr="3C5767F7">
        <w:rPr>
          <w:rStyle w:val="Hyperlink"/>
          <w:i/>
          <w:iCs/>
          <w:sz w:val="20"/>
          <w:szCs w:val="20"/>
        </w:rPr>
        <w:t>Colorado Enacts New Restrictions on Tenant Background Checks</w:t>
      </w:r>
      <w:r w:rsidRPr="3C5767F7">
        <w:rPr>
          <w:sz w:val="20"/>
          <w:szCs w:val="20"/>
        </w:rPr>
        <w:t xml:space="preserve">. BackgroundChecks.com. (May 9, 2019) </w:t>
      </w:r>
      <w:r w:rsidRPr="3C5767F7">
        <w:rPr>
          <w:i/>
          <w:iCs/>
          <w:sz w:val="20"/>
          <w:szCs w:val="20"/>
        </w:rPr>
        <w:t>Available at</w:t>
      </w:r>
      <w:r w:rsidRPr="3C5767F7">
        <w:rPr>
          <w:sz w:val="20"/>
          <w:szCs w:val="20"/>
        </w:rPr>
        <w:t xml:space="preserve"> </w:t>
      </w:r>
      <w:hyperlink r:id="rId47">
        <w:r w:rsidRPr="3C5767F7">
          <w:rPr>
            <w:rStyle w:val="Hyperlink"/>
            <w:sz w:val="20"/>
            <w:szCs w:val="20"/>
          </w:rPr>
          <w:t>https://www.backgroundchecks.com/blog/colorado-enacts-new-restrictions-on-tenant-background-checks</w:t>
        </w:r>
      </w:hyperlink>
      <w:r w:rsidRPr="3C5767F7">
        <w:rPr>
          <w:sz w:val="20"/>
          <w:szCs w:val="20"/>
        </w:rPr>
        <w:t>.</w:t>
      </w:r>
    </w:p>
  </w:footnote>
  <w:footnote w:id="49">
    <w:p w14:paraId="7D918084" w14:textId="29BDC7D6" w:rsidR="001B075F" w:rsidRPr="001B075F" w:rsidRDefault="001B075F">
      <w:pPr>
        <w:pStyle w:val="FootnoteText"/>
      </w:pPr>
      <w:r>
        <w:rPr>
          <w:rStyle w:val="FootnoteReference"/>
        </w:rPr>
        <w:footnoteRef/>
      </w:r>
      <w:r>
        <w:t xml:space="preserve"> </w:t>
      </w:r>
      <w:r>
        <w:rPr>
          <w:i/>
          <w:iCs/>
        </w:rPr>
        <w:t>See</w:t>
      </w:r>
      <w:r>
        <w:t xml:space="preserve"> </w:t>
      </w:r>
      <w:r w:rsidR="00923EEE" w:rsidRPr="001B075F">
        <w:t xml:space="preserve">Sam Atherton, Katie Elder, Katie Fallon, </w:t>
      </w:r>
      <w:r w:rsidR="00923EEE">
        <w:t xml:space="preserve">&amp; </w:t>
      </w:r>
      <w:r w:rsidR="00923EEE" w:rsidRPr="001B075F">
        <w:t>Kelly Walsh</w:t>
      </w:r>
      <w:r w:rsidR="00923EEE">
        <w:t>,</w:t>
      </w:r>
      <w:r w:rsidR="00923EEE" w:rsidRPr="00923EEE">
        <w:rPr>
          <w:i/>
          <w:iCs/>
        </w:rPr>
        <w:t xml:space="preserve"> </w:t>
      </w:r>
      <w:r w:rsidRPr="00923EEE">
        <w:rPr>
          <w:i/>
          <w:iCs/>
        </w:rPr>
        <w:t>Fair Chance Housing Laws Implementation Lessons and Perceived Impact</w:t>
      </w:r>
      <w:r w:rsidR="00923EEE">
        <w:t>, Urban Institute</w:t>
      </w:r>
      <w:r w:rsidRPr="001B075F">
        <w:t xml:space="preserve"> </w:t>
      </w:r>
      <w:r w:rsidR="00923EEE">
        <w:t>(</w:t>
      </w:r>
      <w:r w:rsidRPr="001B075F">
        <w:t>July 2025</w:t>
      </w:r>
      <w:r w:rsidR="00923EEE">
        <w:t xml:space="preserve">), </w:t>
      </w:r>
      <w:hyperlink r:id="rId48" w:history="1">
        <w:r w:rsidR="004F001C" w:rsidRPr="0091473F">
          <w:rPr>
            <w:rStyle w:val="Hyperlink"/>
          </w:rPr>
          <w:t>https://www.urban.org/sites/default/files/2025-07/Final_Fair%20Chance%20Housing%20Laws%20brief.pdf</w:t>
        </w:r>
      </w:hyperlink>
      <w:r w:rsidR="004F001C">
        <w:t xml:space="preserve">. </w:t>
      </w:r>
    </w:p>
  </w:footnote>
  <w:footnote w:id="50">
    <w:p w14:paraId="6FA41EB4" w14:textId="74E890A4" w:rsidR="00485FDB" w:rsidRDefault="00485FDB">
      <w:pPr>
        <w:pStyle w:val="FootnoteText"/>
      </w:pPr>
      <w:r>
        <w:rPr>
          <w:rStyle w:val="FootnoteReference"/>
        </w:rPr>
        <w:footnoteRef/>
      </w:r>
      <w:r>
        <w:t xml:space="preserve"> </w:t>
      </w:r>
      <w:r w:rsidRPr="001B075F">
        <w:t xml:space="preserve">Sam Atherton, Katie Elder, Katie Fallon, </w:t>
      </w:r>
      <w:r>
        <w:t xml:space="preserve">&amp; </w:t>
      </w:r>
      <w:r w:rsidRPr="001B075F">
        <w:t>Kelly Walsh</w:t>
      </w:r>
      <w:r>
        <w:t>,</w:t>
      </w:r>
      <w:r w:rsidRPr="00923EEE">
        <w:rPr>
          <w:i/>
          <w:iCs/>
        </w:rPr>
        <w:t xml:space="preserve"> Fair Chance Housing Laws Implementation Lessons and Perceived Impact</w:t>
      </w:r>
      <w:r>
        <w:t>, Urban Institute</w:t>
      </w:r>
      <w:r w:rsidRPr="001B075F">
        <w:t xml:space="preserve"> </w:t>
      </w:r>
      <w:r>
        <w:t>(</w:t>
      </w:r>
      <w:r w:rsidRPr="001B075F">
        <w:t>July 2025</w:t>
      </w:r>
      <w:r>
        <w:t xml:space="preserve">), </w:t>
      </w:r>
      <w:hyperlink r:id="rId49" w:history="1">
        <w:r w:rsidRPr="0091473F">
          <w:rPr>
            <w:rStyle w:val="Hyperlink"/>
          </w:rPr>
          <w:t>https://www.urban.org/sites/default/files/2025-07/Final_Fair%20Chance%20Housing%20Laws%20brief.pdf</w:t>
        </w:r>
      </w:hyperlink>
      <w:r w:rsidR="00CA6A6E">
        <w:t xml:space="preserve">; </w:t>
      </w:r>
      <w:r w:rsidR="00CA6A6E" w:rsidRPr="00CA6A6E">
        <w:t>Kelsie Chesnut</w:t>
      </w:r>
      <w:r w:rsidR="00CA6A6E">
        <w:t xml:space="preserve"> et al., </w:t>
      </w:r>
      <w:r w:rsidR="00CA6A6E" w:rsidRPr="002C22F5">
        <w:rPr>
          <w:i/>
          <w:iCs/>
        </w:rPr>
        <w:t>Fair Chance Housing: Lessons in Implementation</w:t>
      </w:r>
      <w:r w:rsidR="00CA6A6E">
        <w:t xml:space="preserve">, Vera Inst. for Justice (Jan. 2025), </w:t>
      </w:r>
      <w:hyperlink r:id="rId50" w:history="1">
        <w:r w:rsidR="00CA6A6E" w:rsidRPr="0091473F">
          <w:rPr>
            <w:rStyle w:val="Hyperlink"/>
          </w:rPr>
          <w:t>https://vera-institute.files.svdcdn.com/production/downloads/publications/Fair-Chance-Housing-Lessons-in-Implementation.pdf?dm=1736531593</w:t>
        </w:r>
      </w:hyperlink>
      <w:r w:rsidR="00CA6A6E">
        <w:t xml:space="preserve">. </w:t>
      </w:r>
      <w:r>
        <w:t xml:space="preserve"> </w:t>
      </w:r>
    </w:p>
  </w:footnote>
  <w:footnote w:id="51">
    <w:p w14:paraId="20429D16" w14:textId="3FBFA0D0" w:rsidR="00184AB4" w:rsidRDefault="00184AB4">
      <w:pPr>
        <w:pStyle w:val="FootnoteText"/>
      </w:pPr>
      <w:r>
        <w:rPr>
          <w:rStyle w:val="FootnoteReference"/>
        </w:rPr>
        <w:footnoteRef/>
      </w:r>
      <w:r>
        <w:t xml:space="preserve"> </w:t>
      </w:r>
      <w:r w:rsidR="00154C5F" w:rsidRPr="001B075F">
        <w:t xml:space="preserve">Sam Atherton, Katie Elder, Katie Fallon, </w:t>
      </w:r>
      <w:r w:rsidR="00154C5F">
        <w:t xml:space="preserve">&amp; </w:t>
      </w:r>
      <w:r w:rsidR="00154C5F" w:rsidRPr="001B075F">
        <w:t>Kelly Walsh</w:t>
      </w:r>
      <w:r w:rsidR="00154C5F">
        <w:t>,</w:t>
      </w:r>
      <w:r w:rsidR="00154C5F" w:rsidRPr="00923EEE">
        <w:rPr>
          <w:i/>
          <w:iCs/>
        </w:rPr>
        <w:t xml:space="preserve"> Fair Chance Housing Laws Implementation Lessons and Perceived Impact</w:t>
      </w:r>
      <w:r w:rsidR="00154C5F">
        <w:t>, Urban Institute</w:t>
      </w:r>
      <w:r w:rsidR="00154C5F" w:rsidRPr="001B075F">
        <w:t xml:space="preserve"> </w:t>
      </w:r>
      <w:r w:rsidR="00154C5F">
        <w:t>(</w:t>
      </w:r>
      <w:r w:rsidR="00154C5F" w:rsidRPr="001B075F">
        <w:t>July 2025</w:t>
      </w:r>
      <w:r w:rsidR="00154C5F">
        <w:t xml:space="preserve">), </w:t>
      </w:r>
      <w:hyperlink r:id="rId51" w:history="1">
        <w:r w:rsidR="00154C5F" w:rsidRPr="0091473F">
          <w:rPr>
            <w:rStyle w:val="Hyperlink"/>
          </w:rPr>
          <w:t>https://www.urban.org/sites/default/files/2025-07/Final_Fair%20Chance%20Housing%20Laws%20brief.pdf</w:t>
        </w:r>
      </w:hyperlink>
      <w:r w:rsidR="00154C5F">
        <w:t>.</w:t>
      </w:r>
    </w:p>
  </w:footnote>
  <w:footnote w:id="52">
    <w:p w14:paraId="0926089D" w14:textId="02DCF343" w:rsidR="002B3957" w:rsidRDefault="002B3957">
      <w:pPr>
        <w:pStyle w:val="FootnoteText"/>
      </w:pPr>
      <w:r>
        <w:rPr>
          <w:rStyle w:val="FootnoteReference"/>
        </w:rPr>
        <w:footnoteRef/>
      </w:r>
      <w:r>
        <w:t xml:space="preserve"> </w:t>
      </w:r>
      <w:r w:rsidR="00DE428F" w:rsidRPr="001B075F">
        <w:t xml:space="preserve">Sam Atherton, Katie Elder, Katie Fallon, </w:t>
      </w:r>
      <w:r w:rsidR="00DE428F">
        <w:t xml:space="preserve">&amp; </w:t>
      </w:r>
      <w:r w:rsidR="00DE428F" w:rsidRPr="001B075F">
        <w:t>Kelly Walsh</w:t>
      </w:r>
      <w:r w:rsidR="00DE428F">
        <w:t>,</w:t>
      </w:r>
      <w:r w:rsidR="00DE428F" w:rsidRPr="00923EEE">
        <w:rPr>
          <w:i/>
          <w:iCs/>
        </w:rPr>
        <w:t xml:space="preserve"> Fair Chance Housing Laws Implementation Lessons and Perceived Impact</w:t>
      </w:r>
      <w:r w:rsidR="00DE428F">
        <w:t>, Urban Institute</w:t>
      </w:r>
      <w:r w:rsidR="00DE428F" w:rsidRPr="001B075F">
        <w:t xml:space="preserve"> </w:t>
      </w:r>
      <w:r w:rsidR="00DE428F">
        <w:t>(</w:t>
      </w:r>
      <w:r w:rsidR="00DE428F" w:rsidRPr="001B075F">
        <w:t>July 2025</w:t>
      </w:r>
      <w:r w:rsidR="00DE428F">
        <w:t xml:space="preserve">), </w:t>
      </w:r>
      <w:hyperlink r:id="rId52" w:history="1">
        <w:r w:rsidR="00DE428F" w:rsidRPr="0091473F">
          <w:rPr>
            <w:rStyle w:val="Hyperlink"/>
          </w:rPr>
          <w:t>https://www.urban.org/sites/default/files/2025-07/Final_Fair%20Chance%20Housing%20Laws%20brief.pdf</w:t>
        </w:r>
      </w:hyperlink>
      <w:r w:rsidR="00CC3756">
        <w:t xml:space="preserve">; </w:t>
      </w:r>
      <w:r w:rsidR="00CC3756" w:rsidRPr="00CA6A6E">
        <w:t>Kelsie Chesnut</w:t>
      </w:r>
      <w:r w:rsidR="00CC3756">
        <w:t xml:space="preserve"> et al., </w:t>
      </w:r>
      <w:r w:rsidR="00CC3756" w:rsidRPr="002C22F5">
        <w:rPr>
          <w:i/>
          <w:iCs/>
        </w:rPr>
        <w:t>Fair Chance Housing: Lessons in Implementation</w:t>
      </w:r>
      <w:r w:rsidR="00CC3756">
        <w:t xml:space="preserve">, Vera Inst. for Justice (Jan. 2025), </w:t>
      </w:r>
      <w:hyperlink r:id="rId53" w:history="1">
        <w:r w:rsidR="00CC3756" w:rsidRPr="0091473F">
          <w:rPr>
            <w:rStyle w:val="Hyperlink"/>
          </w:rPr>
          <w:t>https://vera-institute.files.svdcdn.com/production/downloads/publications/Fair-Chance-Housing-Lessons-in-Implementation.pdf?dm=1736531593</w:t>
        </w:r>
      </w:hyperlink>
      <w:r w:rsidR="00CC3756">
        <w:t>.</w:t>
      </w:r>
    </w:p>
  </w:footnote>
  <w:footnote w:id="53">
    <w:p w14:paraId="7CF9A9B7" w14:textId="159403AB" w:rsidR="008D60B9" w:rsidRDefault="008D60B9">
      <w:pPr>
        <w:pStyle w:val="FootnoteText"/>
      </w:pPr>
      <w:r>
        <w:rPr>
          <w:rStyle w:val="FootnoteReference"/>
        </w:rPr>
        <w:footnoteRef/>
      </w:r>
      <w:r>
        <w:t xml:space="preserve"> </w:t>
      </w:r>
      <w:r w:rsidRPr="001B075F">
        <w:t xml:space="preserve">Sam Atherton, Katie Elder, Katie Fallon, </w:t>
      </w:r>
      <w:r>
        <w:t xml:space="preserve">&amp; </w:t>
      </w:r>
      <w:r w:rsidRPr="001B075F">
        <w:t>Kelly Walsh</w:t>
      </w:r>
      <w:r>
        <w:t>,</w:t>
      </w:r>
      <w:r w:rsidRPr="00923EEE">
        <w:rPr>
          <w:i/>
          <w:iCs/>
        </w:rPr>
        <w:t xml:space="preserve"> Fair Chance Housing Laws Implementation Lessons and Perceived Impact</w:t>
      </w:r>
      <w:r>
        <w:t>, Urban Institute</w:t>
      </w:r>
      <w:r w:rsidRPr="001B075F">
        <w:t xml:space="preserve"> </w:t>
      </w:r>
      <w:r>
        <w:t>(</w:t>
      </w:r>
      <w:r w:rsidRPr="001B075F">
        <w:t>July 2025</w:t>
      </w:r>
      <w:r>
        <w:t xml:space="preserve">), </w:t>
      </w:r>
      <w:hyperlink r:id="rId54" w:history="1">
        <w:r w:rsidRPr="0091473F">
          <w:rPr>
            <w:rStyle w:val="Hyperlink"/>
          </w:rPr>
          <w:t>https://www.urban.org/sites/default/files/2025-07/Final_Fair%20Chance%20Housing%20Laws%20brief.pdf</w:t>
        </w:r>
      </w:hyperlink>
      <w:r>
        <w:t>.</w:t>
      </w:r>
    </w:p>
  </w:footnote>
  <w:footnote w:id="54">
    <w:p w14:paraId="593013A0" w14:textId="311A9F5E" w:rsidR="0066272A" w:rsidRPr="0066272A" w:rsidRDefault="0066272A">
      <w:pPr>
        <w:pStyle w:val="FootnoteText"/>
      </w:pPr>
      <w:r>
        <w:rPr>
          <w:rStyle w:val="FootnoteReference"/>
        </w:rPr>
        <w:footnoteRef/>
      </w:r>
      <w:r>
        <w:t xml:space="preserve"> </w:t>
      </w:r>
      <w:r w:rsidR="00CA6A6E" w:rsidRPr="00CA6A6E">
        <w:t>Kelsie Chesnut</w:t>
      </w:r>
      <w:r w:rsidR="00CA6A6E">
        <w:t xml:space="preserve"> et al., </w:t>
      </w:r>
      <w:r w:rsidR="00CA6A6E" w:rsidRPr="002C22F5">
        <w:rPr>
          <w:i/>
          <w:iCs/>
        </w:rPr>
        <w:t>Fair Chance Housing: Lessons in Implementation</w:t>
      </w:r>
      <w:r w:rsidR="00CA6A6E">
        <w:t xml:space="preserve">, Vera Inst. for Justice (Jan. 2025), </w:t>
      </w:r>
      <w:hyperlink r:id="rId55" w:history="1">
        <w:r w:rsidR="00CA6A6E" w:rsidRPr="0091473F">
          <w:rPr>
            <w:rStyle w:val="Hyperlink"/>
          </w:rPr>
          <w:t>https://vera-institute.files.svdcdn.com/production/downloads/publications/Fair-Chance-Housing-Lessons-in-Implementation.pdf?dm=1736531593</w:t>
        </w:r>
      </w:hyperlink>
      <w:r w:rsidR="00CA6A6E">
        <w:t>.</w:t>
      </w:r>
    </w:p>
  </w:footnote>
  <w:footnote w:id="55">
    <w:p w14:paraId="675EBC95" w14:textId="1EAC9082" w:rsidR="00FA6991" w:rsidRDefault="00FA6991">
      <w:pPr>
        <w:pStyle w:val="FootnoteText"/>
      </w:pPr>
      <w:r>
        <w:rPr>
          <w:rStyle w:val="FootnoteReference"/>
        </w:rPr>
        <w:footnoteRef/>
      </w:r>
      <w:r>
        <w:t xml:space="preserve"> </w:t>
      </w:r>
      <w:r w:rsidR="00CA6A6E" w:rsidRPr="00CA6A6E">
        <w:t>Kelsie Chesnut</w:t>
      </w:r>
      <w:r w:rsidR="00CA6A6E">
        <w:t xml:space="preserve"> et al., </w:t>
      </w:r>
      <w:r w:rsidR="00593FBE" w:rsidRPr="002C22F5">
        <w:rPr>
          <w:i/>
          <w:iCs/>
        </w:rPr>
        <w:t>Fair Chance Housing: Lessons in Implementation</w:t>
      </w:r>
      <w:r w:rsidR="002C22F5">
        <w:t xml:space="preserve">, </w:t>
      </w:r>
      <w:r w:rsidR="00CE25DE">
        <w:t xml:space="preserve">Vera </w:t>
      </w:r>
      <w:r w:rsidR="002C22F5">
        <w:t xml:space="preserve">Inst. </w:t>
      </w:r>
      <w:r w:rsidR="00CE25DE">
        <w:t xml:space="preserve">for Justice </w:t>
      </w:r>
      <w:r w:rsidR="001B519C">
        <w:t>(</w:t>
      </w:r>
      <w:r w:rsidR="00CA6A6E">
        <w:t>Jan. 2025</w:t>
      </w:r>
      <w:r w:rsidR="001B519C">
        <w:t>)</w:t>
      </w:r>
      <w:r w:rsidR="00CE25DE">
        <w:t xml:space="preserve">, </w:t>
      </w:r>
      <w:hyperlink r:id="rId56" w:history="1">
        <w:r w:rsidR="00CE25DE" w:rsidRPr="0091473F">
          <w:rPr>
            <w:rStyle w:val="Hyperlink"/>
          </w:rPr>
          <w:t>https://vera-institute.files.svdcdn.com/production/downloads/publications/Fair-Chance-Housing-Lessons-in-Implementation.pdf?dm=1736531593</w:t>
        </w:r>
      </w:hyperlink>
      <w:r w:rsidR="00CE25DE">
        <w:t xml:space="preserve">. </w:t>
      </w:r>
    </w:p>
  </w:footnote>
  <w:footnote w:id="56">
    <w:p w14:paraId="73452550" w14:textId="77777777" w:rsidR="00213A3A" w:rsidRDefault="00213A3A" w:rsidP="00213A3A">
      <w:pPr>
        <w:pStyle w:val="FootnoteText"/>
      </w:pPr>
      <w:r>
        <w:rPr>
          <w:rStyle w:val="FootnoteReference"/>
        </w:rPr>
        <w:footnoteRef/>
      </w:r>
      <w:r>
        <w:t xml:space="preserve"> These included </w:t>
      </w:r>
      <w:r w:rsidRPr="00105634">
        <w:t>the Deputy Commissioner, Assistant Commissioner and Managing Attorney for the bureau; 4 Supervising Attorneys; 25 Agency Attorneys; 4 Attorney Internes, 7 Administrative Staff; 1 Testing Coordinator; 2 Testers; and 5 Infoline Staff.</w:t>
      </w:r>
      <w:r>
        <w:t xml:space="preserve"> CCHR Annual Report for 2016, </w:t>
      </w:r>
      <w:hyperlink r:id="rId57" w:history="1">
        <w:r w:rsidRPr="0091473F">
          <w:rPr>
            <w:rStyle w:val="Hyperlink"/>
          </w:rPr>
          <w:t>https://www.nyc.gov/assets/cchr/downloads/pdf/publications/AnnualReport2016FINAL.pdf</w:t>
        </w:r>
      </w:hyperlink>
      <w:r>
        <w:t>.</w:t>
      </w:r>
    </w:p>
  </w:footnote>
  <w:footnote w:id="57">
    <w:p w14:paraId="3EB55397" w14:textId="77777777" w:rsidR="00213A3A" w:rsidRDefault="00213A3A" w:rsidP="00213A3A">
      <w:pPr>
        <w:pStyle w:val="FootnoteText"/>
      </w:pPr>
      <w:r>
        <w:rPr>
          <w:rStyle w:val="FootnoteReference"/>
        </w:rPr>
        <w:footnoteRef/>
      </w:r>
      <w:r>
        <w:t xml:space="preserve"> Testimony of </w:t>
      </w:r>
      <w:r w:rsidRPr="00266259">
        <w:t>Dana Sussman Deputy Commissioner for Policy and Intergovernmental Affairs New York City Commission on Human Rights Before the Committee on Civil and Human Rights</w:t>
      </w:r>
      <w:r>
        <w:t xml:space="preserve"> (Jan. </w:t>
      </w:r>
      <w:r w:rsidRPr="00266259">
        <w:t>22, 2020</w:t>
      </w:r>
      <w:r>
        <w:t xml:space="preserve">), </w:t>
      </w:r>
      <w:r>
        <w:rPr>
          <w:i/>
          <w:iCs/>
        </w:rPr>
        <w:t xml:space="preserve">available at </w:t>
      </w:r>
      <w:hyperlink r:id="rId58" w:history="1">
        <w:r w:rsidRPr="0091473F">
          <w:rPr>
            <w:rStyle w:val="Hyperlink"/>
          </w:rPr>
          <w:t>https://perma.cc/P3J9-BZ4E</w:t>
        </w:r>
      </w:hyperlink>
      <w:r>
        <w:t xml:space="preserve">. </w:t>
      </w:r>
    </w:p>
  </w:footnote>
  <w:footnote w:id="58">
    <w:p w14:paraId="74F1999E" w14:textId="239C348D" w:rsidR="001864FA" w:rsidRDefault="001864FA">
      <w:pPr>
        <w:pStyle w:val="FootnoteText"/>
      </w:pPr>
      <w:r>
        <w:rPr>
          <w:rStyle w:val="FootnoteReference"/>
        </w:rPr>
        <w:footnoteRef/>
      </w:r>
      <w:r>
        <w:t xml:space="preserve"> These are recorded in Annual Reports as discrimination relating to </w:t>
      </w:r>
      <w:r w:rsidRPr="001864FA">
        <w:t>arrest or conviction record</w:t>
      </w:r>
      <w:r>
        <w:t>.</w:t>
      </w:r>
      <w:r w:rsidRPr="001864FA">
        <w:t xml:space="preserve"> </w:t>
      </w:r>
    </w:p>
  </w:footnote>
  <w:footnote w:id="59">
    <w:p w14:paraId="4D54A67D" w14:textId="77777777" w:rsidR="00213A3A" w:rsidRDefault="00213A3A" w:rsidP="00213A3A">
      <w:pPr>
        <w:pStyle w:val="FootnoteText"/>
      </w:pPr>
      <w:r>
        <w:rPr>
          <w:rStyle w:val="FootnoteReference"/>
        </w:rPr>
        <w:footnoteRef/>
      </w:r>
      <w:r>
        <w:t xml:space="preserve"> In addition, the following year, CCHR filed 51 complaints alleging discrimination on the basis of arrest record and 65 on the basis of conviction record. CCHR Annual Report for 2016, </w:t>
      </w:r>
      <w:hyperlink r:id="rId59" w:history="1">
        <w:r w:rsidRPr="0091473F">
          <w:rPr>
            <w:rStyle w:val="Hyperlink"/>
          </w:rPr>
          <w:t>https://www.nyc.gov/assets/cchr/downloads/pdf/publications/AnnualReport2016FINAL.pdf</w:t>
        </w:r>
      </w:hyperlink>
      <w:r>
        <w:t xml:space="preserve">; CCHR Annual Report for 2017, </w:t>
      </w:r>
      <w:hyperlink r:id="rId60" w:history="1">
        <w:r w:rsidRPr="0091473F">
          <w:rPr>
            <w:rStyle w:val="Hyperlink"/>
          </w:rPr>
          <w:t>https://www.nyc.gov/assets/cchr/downloads/pdf/publications/2017YearEndReviewFINAL.pdf</w:t>
        </w:r>
      </w:hyperlink>
      <w:r>
        <w:t>.</w:t>
      </w:r>
    </w:p>
  </w:footnote>
  <w:footnote w:id="60">
    <w:p w14:paraId="4383F30F" w14:textId="77777777" w:rsidR="00213A3A" w:rsidRDefault="00213A3A" w:rsidP="00213A3A">
      <w:pPr>
        <w:pStyle w:val="FootnoteText"/>
      </w:pPr>
      <w:r>
        <w:rPr>
          <w:rStyle w:val="FootnoteReference"/>
        </w:rPr>
        <w:footnoteRef/>
      </w:r>
      <w:r>
        <w:t xml:space="preserve"> CCHR Annual Report for 2016 (reporting that 190 out of 426 total investigations, or 45 percent of all investigations, were for discrimination based on conviction record), </w:t>
      </w:r>
      <w:hyperlink r:id="rId61" w:history="1">
        <w:r w:rsidRPr="0091473F">
          <w:rPr>
            <w:rStyle w:val="Hyperlink"/>
          </w:rPr>
          <w:t>https://www.nyc.gov/assets/cchr/downloads/pdf/publications/AnnualReport2016FINAL.pdf</w:t>
        </w:r>
      </w:hyperlink>
      <w:r>
        <w:t>.</w:t>
      </w:r>
    </w:p>
  </w:footnote>
  <w:footnote w:id="61">
    <w:p w14:paraId="381064A3" w14:textId="77777777" w:rsidR="00213A3A" w:rsidRPr="00C94DC8" w:rsidRDefault="00213A3A" w:rsidP="00213A3A">
      <w:pPr>
        <w:pStyle w:val="FootnoteText"/>
        <w:rPr>
          <w:i/>
          <w:iCs/>
        </w:rPr>
      </w:pPr>
      <w:r>
        <w:rPr>
          <w:rStyle w:val="FootnoteReference"/>
        </w:rPr>
        <w:footnoteRef/>
      </w:r>
      <w:r>
        <w:t xml:space="preserve"> </w:t>
      </w:r>
      <w:r>
        <w:rPr>
          <w:i/>
          <w:iCs/>
        </w:rPr>
        <w:t>Id.</w:t>
      </w:r>
    </w:p>
  </w:footnote>
  <w:footnote w:id="62">
    <w:p w14:paraId="67F1810D" w14:textId="77777777" w:rsidR="00213A3A" w:rsidRDefault="00213A3A" w:rsidP="00213A3A">
      <w:pPr>
        <w:pStyle w:val="FootnoteText"/>
      </w:pPr>
      <w:r>
        <w:rPr>
          <w:rStyle w:val="FootnoteReference"/>
        </w:rPr>
        <w:footnoteRef/>
      </w:r>
      <w:r>
        <w:t xml:space="preserve"> CCHR also conducted 16 tests for credit history discrimination, of which all 16 (100 percent) uncovered unlawful discriminatory practices. CCHR Annual Report for 2016, </w:t>
      </w:r>
      <w:hyperlink r:id="rId62" w:history="1">
        <w:r w:rsidRPr="0091473F">
          <w:rPr>
            <w:rStyle w:val="Hyperlink"/>
          </w:rPr>
          <w:t>https://www.nyc.gov/assets/cchr/downloads/pdf/publications/AnnualReport2016FINAL.pdf</w:t>
        </w:r>
      </w:hyperlink>
      <w:r>
        <w:t xml:space="preserve">. </w:t>
      </w:r>
    </w:p>
  </w:footnote>
  <w:footnote w:id="63">
    <w:p w14:paraId="4C19DD15" w14:textId="07C810D7" w:rsidR="00A502F9" w:rsidRPr="00A502F9" w:rsidRDefault="00A502F9">
      <w:pPr>
        <w:pStyle w:val="FootnoteText"/>
        <w:rPr>
          <w:i/>
          <w:iCs/>
        </w:rPr>
      </w:pPr>
      <w:r>
        <w:rPr>
          <w:rStyle w:val="FootnoteReference"/>
        </w:rPr>
        <w:footnoteRef/>
      </w:r>
      <w:r>
        <w:t xml:space="preserve"> Representing 6 percent of all inquiries where a protected class was identified. </w:t>
      </w:r>
      <w:r>
        <w:rPr>
          <w:i/>
          <w:iCs/>
        </w:rPr>
        <w:t>See id.</w:t>
      </w:r>
    </w:p>
  </w:footnote>
  <w:footnote w:id="64">
    <w:p w14:paraId="36F0C6A2" w14:textId="77777777" w:rsidR="00213A3A" w:rsidRDefault="00213A3A" w:rsidP="00213A3A">
      <w:pPr>
        <w:pStyle w:val="FootnoteText"/>
      </w:pPr>
      <w:r>
        <w:rPr>
          <w:rStyle w:val="FootnoteReference"/>
        </w:rPr>
        <w:footnoteRef/>
      </w:r>
      <w:r>
        <w:t xml:space="preserve"> CCHR Annual Report for 2016, </w:t>
      </w:r>
      <w:hyperlink r:id="rId63" w:history="1">
        <w:r w:rsidRPr="0091473F">
          <w:rPr>
            <w:rStyle w:val="Hyperlink"/>
          </w:rPr>
          <w:t>https://www.nyc.gov/assets/cchr/downloads/pdf/publications/AnnualReport2016FINAL.pdf</w:t>
        </w:r>
      </w:hyperlink>
      <w:r>
        <w:t>.</w:t>
      </w:r>
    </w:p>
  </w:footnote>
  <w:footnote w:id="65">
    <w:p w14:paraId="4E0118CE" w14:textId="77777777" w:rsidR="00213A3A" w:rsidRDefault="00213A3A" w:rsidP="00213A3A">
      <w:pPr>
        <w:pStyle w:val="FootnoteText"/>
      </w:pPr>
      <w:r>
        <w:rPr>
          <w:rStyle w:val="FootnoteReference"/>
        </w:rPr>
        <w:footnoteRef/>
      </w:r>
      <w:r>
        <w:t xml:space="preserve"> CCHR Annual Report for 2016, </w:t>
      </w:r>
      <w:hyperlink r:id="rId64" w:history="1">
        <w:r w:rsidRPr="0091473F">
          <w:rPr>
            <w:rStyle w:val="Hyperlink"/>
          </w:rPr>
          <w:t>https://www.nyc.gov/assets/cchr/downloads/pdf/publications/AnnualReport2016FINAL.pdf</w:t>
        </w:r>
      </w:hyperlink>
      <w:r>
        <w:t>.</w:t>
      </w:r>
    </w:p>
  </w:footnote>
  <w:footnote w:id="66">
    <w:p w14:paraId="1B217C84" w14:textId="77777777" w:rsidR="00213A3A" w:rsidRPr="00BB576B" w:rsidRDefault="00213A3A" w:rsidP="00213A3A">
      <w:pPr>
        <w:pStyle w:val="FootnoteText"/>
        <w:rPr>
          <w:i/>
          <w:iCs/>
        </w:rPr>
      </w:pPr>
      <w:r>
        <w:rPr>
          <w:rStyle w:val="FootnoteReference"/>
        </w:rPr>
        <w:footnoteRef/>
      </w:r>
      <w:r>
        <w:t xml:space="preserve"> Testimony of </w:t>
      </w:r>
      <w:r w:rsidRPr="00266259">
        <w:t>Dana Sussman Deputy Commissioner for Policy and Intergovernmental Affairs New York City Commission on Human Rights Before the Committee on Civil and Human Rights</w:t>
      </w:r>
      <w:r>
        <w:t xml:space="preserve"> (Jan. </w:t>
      </w:r>
      <w:r w:rsidRPr="00266259">
        <w:t>22, 2020</w:t>
      </w:r>
      <w:r>
        <w:t xml:space="preserve">), </w:t>
      </w:r>
      <w:r>
        <w:rPr>
          <w:i/>
          <w:iCs/>
        </w:rPr>
        <w:t xml:space="preserve">available at </w:t>
      </w:r>
      <w:hyperlink r:id="rId65" w:history="1">
        <w:r w:rsidRPr="0091473F">
          <w:rPr>
            <w:rStyle w:val="Hyperlink"/>
          </w:rPr>
          <w:t>https://perma.cc/P3J9-BZ4E</w:t>
        </w:r>
      </w:hyperlink>
      <w:r>
        <w:t>.</w:t>
      </w:r>
    </w:p>
  </w:footnote>
  <w:footnote w:id="67">
    <w:p w14:paraId="6EB29A15" w14:textId="77777777" w:rsidR="00213A3A" w:rsidRDefault="00213A3A" w:rsidP="00213A3A">
      <w:pPr>
        <w:pStyle w:val="FootnoteText"/>
      </w:pPr>
      <w:r>
        <w:rPr>
          <w:rStyle w:val="FootnoteReference"/>
        </w:rPr>
        <w:footnoteRef/>
      </w:r>
      <w:r>
        <w:t xml:space="preserve"> Testimony of </w:t>
      </w:r>
      <w:r w:rsidRPr="00266259">
        <w:t>Dana Sussman Deputy Commissioner for Policy and Intergovernmental Affairs New York City Commission on Human Rights Before the Committee on Civil and Human Rights</w:t>
      </w:r>
      <w:r>
        <w:t xml:space="preserve"> (Jan. </w:t>
      </w:r>
      <w:r w:rsidRPr="00266259">
        <w:t>22, 2020</w:t>
      </w:r>
      <w:r>
        <w:t xml:space="preserve">), </w:t>
      </w:r>
      <w:r>
        <w:rPr>
          <w:i/>
          <w:iCs/>
        </w:rPr>
        <w:t xml:space="preserve">available at </w:t>
      </w:r>
      <w:hyperlink r:id="rId66" w:history="1">
        <w:r w:rsidRPr="0091473F">
          <w:rPr>
            <w:rStyle w:val="Hyperlink"/>
          </w:rPr>
          <w:t>https://perma.cc/P3J9-BZ4E</w:t>
        </w:r>
      </w:hyperlink>
      <w:r>
        <w:t>.</w:t>
      </w:r>
    </w:p>
  </w:footnote>
  <w:footnote w:id="68">
    <w:p w14:paraId="192E035D" w14:textId="77777777" w:rsidR="00261885" w:rsidRDefault="00261885" w:rsidP="00261885">
      <w:pPr>
        <w:pStyle w:val="FootnoteText"/>
      </w:pPr>
      <w:r>
        <w:rPr>
          <w:rStyle w:val="FootnoteReference"/>
        </w:rPr>
        <w:footnoteRef/>
      </w:r>
      <w:r>
        <w:t xml:space="preserve"> Sadeq Khan, </w:t>
      </w:r>
      <w:r w:rsidRPr="00376B55">
        <w:rPr>
          <w:i/>
          <w:iCs/>
        </w:rPr>
        <w:t>NYC Employers: Ensure compliance with the Fair Chance Act</w:t>
      </w:r>
      <w:r>
        <w:t xml:space="preserve"> (Jan. 8, 2018), </w:t>
      </w:r>
      <w:hyperlink r:id="rId67" w:history="1">
        <w:r w:rsidRPr="0091473F">
          <w:rPr>
            <w:rStyle w:val="Hyperlink"/>
          </w:rPr>
          <w:t>https://www.certiphi.com/resource-center/compliance-services/nyc-employers-ensure-compliance-with-the-fair-chance-act/</w:t>
        </w:r>
      </w:hyperlink>
      <w:r>
        <w:t xml:space="preserve">. </w:t>
      </w:r>
    </w:p>
  </w:footnote>
  <w:footnote w:id="69">
    <w:p w14:paraId="54CE186E" w14:textId="77777777" w:rsidR="00213A3A" w:rsidRPr="00192EFF" w:rsidRDefault="00213A3A" w:rsidP="00213A3A">
      <w:pPr>
        <w:pStyle w:val="FootnoteText"/>
      </w:pPr>
      <w:r>
        <w:rPr>
          <w:rStyle w:val="FootnoteReference"/>
        </w:rPr>
        <w:footnoteRef/>
      </w:r>
      <w:r>
        <w:t xml:space="preserve"> </w:t>
      </w:r>
      <w:r>
        <w:rPr>
          <w:i/>
          <w:iCs/>
        </w:rPr>
        <w:t>See generally</w:t>
      </w:r>
      <w:r>
        <w:t xml:space="preserve"> Committee Report for the Committee on Civil and Human Rights, Dec. 8, 2022 (describing the common use of criminal background checks in housing application processes, and the steps required under L.L. 24 of 2024), </w:t>
      </w:r>
      <w:hyperlink r:id="rId68" w:history="1">
        <w:r w:rsidRPr="0091473F">
          <w:rPr>
            <w:rStyle w:val="Hyperlink"/>
          </w:rPr>
          <w:t>https://legistar.council.nyc.gov/LegislationDetail.aspx?ID=5755059&amp;GUID=1081D9A0-5626-4DE4-BB6A-142AB373A4AF&amp;Options=&amp;Search=</w:t>
        </w:r>
      </w:hyperlink>
      <w:r>
        <w:t xml:space="preserve">; Committee Report for the Committee on Civil and Human Rights, Dec. 8, 2022 (describing the common use of criminal background checks in the employment context, and the steps required under L.L. 63 of 2015), </w:t>
      </w:r>
      <w:hyperlink r:id="rId69" w:history="1">
        <w:r w:rsidRPr="0091473F">
          <w:rPr>
            <w:rStyle w:val="Hyperlink"/>
          </w:rPr>
          <w:t>https://legistar.council.nyc.gov/LegislationDetail.aspx?ID=1739365&amp;GUID=EF70B69C-074A-4B8E-9D36-187C76BB1098&amp;Options=ID|Text|&amp;Search=63</w:t>
        </w:r>
      </w:hyperlink>
      <w:r>
        <w:t xml:space="preserve">. </w:t>
      </w:r>
    </w:p>
  </w:footnote>
  <w:footnote w:id="70">
    <w:p w14:paraId="5C8983F8" w14:textId="77777777" w:rsidR="009A6531" w:rsidRDefault="009A6531" w:rsidP="009A6531">
      <w:pPr>
        <w:pStyle w:val="FootnoteText"/>
      </w:pPr>
      <w:r>
        <w:rPr>
          <w:rStyle w:val="FootnoteReference"/>
        </w:rPr>
        <w:footnoteRef/>
      </w:r>
      <w:r>
        <w:t xml:space="preserve"> Testimony of </w:t>
      </w:r>
      <w:r w:rsidRPr="00266259">
        <w:t>Dana Sussman Deputy Commissioner for Policy and Intergovernmental Affairs New York City Commission on Human Rights Before the Committee on Civil and Human Rights</w:t>
      </w:r>
      <w:r>
        <w:t xml:space="preserve"> (Jan. </w:t>
      </w:r>
      <w:r w:rsidRPr="00266259">
        <w:t>22, 2020</w:t>
      </w:r>
      <w:r>
        <w:t xml:space="preserve">), </w:t>
      </w:r>
      <w:r>
        <w:rPr>
          <w:i/>
          <w:iCs/>
        </w:rPr>
        <w:t xml:space="preserve">available at </w:t>
      </w:r>
      <w:hyperlink r:id="rId70" w:history="1">
        <w:r w:rsidRPr="0091473F">
          <w:rPr>
            <w:rStyle w:val="Hyperlink"/>
          </w:rPr>
          <w:t>https://perma.cc/P3J9-BZ4E</w:t>
        </w:r>
      </w:hyperlink>
      <w:r>
        <w:t>.</w:t>
      </w:r>
    </w:p>
  </w:footnote>
  <w:footnote w:id="71">
    <w:p w14:paraId="765EB31B" w14:textId="38979494" w:rsidR="00213A3A" w:rsidRDefault="00213A3A" w:rsidP="00213A3A">
      <w:pPr>
        <w:pStyle w:val="FootnoteText"/>
      </w:pPr>
      <w:r>
        <w:rPr>
          <w:rStyle w:val="FootnoteReference"/>
        </w:rPr>
        <w:footnoteRef/>
      </w:r>
      <w:r>
        <w:t xml:space="preserve"> </w:t>
      </w:r>
      <w:r w:rsidR="00A502F9">
        <w:t>T</w:t>
      </w:r>
      <w:r w:rsidR="00A502F9" w:rsidRPr="00A502F9">
        <w:t xml:space="preserve">he rules </w:t>
      </w:r>
      <w:r w:rsidR="00A502F9">
        <w:t xml:space="preserve">also </w:t>
      </w:r>
      <w:r w:rsidR="00A502F9" w:rsidRPr="00A502F9">
        <w:t xml:space="preserve">specify when and which aspects of arrest or conviction records may be considered by an employer under the Human Rights Law, the effect of inadvertent disclosures of criminal history, the required process for assessing and documenting the relevance of a job candidate’s prior criminal history under the Fair Chance Employment law, </w:t>
      </w:r>
      <w:r w:rsidR="00A502F9">
        <w:t xml:space="preserve">and </w:t>
      </w:r>
      <w:r w:rsidR="00A502F9" w:rsidRPr="00A502F9">
        <w:t>procedures for enforcement.</w:t>
      </w:r>
      <w:r w:rsidR="00A502F9">
        <w:t xml:space="preserve"> </w:t>
      </w:r>
      <w:r w:rsidR="00A502F9">
        <w:rPr>
          <w:i/>
          <w:iCs/>
        </w:rPr>
        <w:t>See, e.g.</w:t>
      </w:r>
      <w:r w:rsidR="00A502F9">
        <w:t xml:space="preserve">, </w:t>
      </w:r>
      <w:r>
        <w:t>N.Y.C.R.R. § 2-04</w:t>
      </w:r>
      <w:r w:rsidR="00A502F9">
        <w:t>(e)</w:t>
      </w:r>
      <w:r>
        <w:t xml:space="preserve"> (explaining</w:t>
      </w:r>
      <w:r w:rsidR="00A502F9">
        <w:t xml:space="preserve"> </w:t>
      </w:r>
      <w:r>
        <w:t>the steps for determining whether prior criminal history has either a “direct relationship” to job responsibilities that cannot be mitigated, or presents an “unreasonable risk” to persons or property pursuant to Admin. Code §§ 8-107(10)–8-107(11-a)).</w:t>
      </w:r>
    </w:p>
  </w:footnote>
  <w:footnote w:id="72">
    <w:p w14:paraId="2A0A0647" w14:textId="77777777" w:rsidR="00213A3A" w:rsidRDefault="00213A3A" w:rsidP="00213A3A">
      <w:pPr>
        <w:pStyle w:val="FootnoteText"/>
      </w:pPr>
      <w:r>
        <w:rPr>
          <w:rStyle w:val="FootnoteReference"/>
        </w:rPr>
        <w:footnoteRef/>
      </w:r>
      <w:r>
        <w:t xml:space="preserve"> N.Y.C.R.R. § 2-04(e)(2)(ii)(A). </w:t>
      </w:r>
    </w:p>
  </w:footnote>
  <w:footnote w:id="73">
    <w:p w14:paraId="5D9F8D5C" w14:textId="77777777" w:rsidR="00213A3A" w:rsidRDefault="00213A3A" w:rsidP="00213A3A">
      <w:pPr>
        <w:pStyle w:val="FootnoteText"/>
      </w:pPr>
      <w:r>
        <w:rPr>
          <w:rStyle w:val="FootnoteReference"/>
        </w:rPr>
        <w:footnoteRef/>
      </w:r>
      <w:r>
        <w:t xml:space="preserve"> N.Y.C.R.R. §§ 2-04(a), 2-04(i)(2).</w:t>
      </w:r>
    </w:p>
  </w:footnote>
  <w:footnote w:id="74">
    <w:p w14:paraId="4CFEEBC5" w14:textId="77777777" w:rsidR="00213A3A" w:rsidRPr="00B646A0" w:rsidRDefault="00213A3A" w:rsidP="00213A3A">
      <w:pPr>
        <w:pStyle w:val="FootnoteText"/>
      </w:pPr>
      <w:r>
        <w:rPr>
          <w:rStyle w:val="FootnoteReference"/>
        </w:rPr>
        <w:footnoteRef/>
      </w:r>
      <w:r>
        <w:t xml:space="preserve"> </w:t>
      </w:r>
      <w:r>
        <w:rPr>
          <w:i/>
          <w:iCs/>
        </w:rPr>
        <w:t>See, e.g.</w:t>
      </w:r>
      <w:r>
        <w:t xml:space="preserve">, CCHR Annual Report for 2016 (trainings offered in Spanish and other languages as needed), </w:t>
      </w:r>
      <w:hyperlink r:id="rId71" w:history="1">
        <w:r w:rsidRPr="0091473F">
          <w:rPr>
            <w:rStyle w:val="Hyperlink"/>
          </w:rPr>
          <w:t>https://www.nyc.gov/assets/cchr/downloads/pdf/publications/AnnualReport2016FINAL.pdf</w:t>
        </w:r>
      </w:hyperlink>
      <w:r>
        <w:t>.</w:t>
      </w:r>
    </w:p>
  </w:footnote>
  <w:footnote w:id="75">
    <w:p w14:paraId="6AA7CD3D" w14:textId="77777777" w:rsidR="00213A3A" w:rsidRDefault="00213A3A" w:rsidP="00213A3A">
      <w:pPr>
        <w:pStyle w:val="FootnoteText"/>
      </w:pPr>
      <w:r>
        <w:rPr>
          <w:rStyle w:val="FootnoteReference"/>
        </w:rPr>
        <w:footnoteRef/>
      </w:r>
      <w:r>
        <w:t xml:space="preserve"> Testimony of </w:t>
      </w:r>
      <w:r w:rsidRPr="00266259">
        <w:t>Dana Sussman Deputy Commissioner for Policy and Intergovernmental Affairs New York City Commission on Human Rights Before the Committee on Civil and Human Rights</w:t>
      </w:r>
      <w:r>
        <w:t xml:space="preserve"> (Jan. </w:t>
      </w:r>
      <w:r w:rsidRPr="00266259">
        <w:t>22, 2020</w:t>
      </w:r>
      <w:r>
        <w:t xml:space="preserve">), </w:t>
      </w:r>
      <w:r>
        <w:rPr>
          <w:i/>
          <w:iCs/>
        </w:rPr>
        <w:t xml:space="preserve">available at </w:t>
      </w:r>
      <w:hyperlink r:id="rId72" w:history="1">
        <w:r w:rsidRPr="0091473F">
          <w:rPr>
            <w:rStyle w:val="Hyperlink"/>
          </w:rPr>
          <w:t>https://perma.cc/P3J9-BZ4E</w:t>
        </w:r>
      </w:hyperlink>
      <w:r>
        <w:t xml:space="preserve">. As of April 2026, consumer credit checks for employment purposes are also prohibited under State law, except where such check is required by law. </w:t>
      </w:r>
      <w:r w:rsidRPr="00EA7911">
        <w:t>Gen. Bus. Law § 380 </w:t>
      </w:r>
      <w:r w:rsidRPr="00EA7911">
        <w:rPr>
          <w:i/>
          <w:iCs/>
        </w:rPr>
        <w:t>et seq</w:t>
      </w:r>
      <w:r w:rsidRPr="00EA7911">
        <w:t>.</w:t>
      </w:r>
      <w:r>
        <w:t xml:space="preserve"> (known as the N.Y. </w:t>
      </w:r>
      <w:r w:rsidRPr="00EA7911">
        <w:t>State Fair Credit Reporting Act)</w:t>
      </w:r>
      <w:r>
        <w:t xml:space="preserve"> (outlining narrow exceptions for, e.g., law enforcement officers, fiduciary roles, or positions requiring a federal or state security clearance).</w:t>
      </w:r>
    </w:p>
  </w:footnote>
  <w:footnote w:id="76">
    <w:p w14:paraId="427993D9" w14:textId="77777777" w:rsidR="00213A3A" w:rsidRDefault="00213A3A" w:rsidP="00213A3A">
      <w:pPr>
        <w:pStyle w:val="FootnoteText"/>
      </w:pPr>
      <w:r>
        <w:rPr>
          <w:rStyle w:val="FootnoteReference"/>
        </w:rPr>
        <w:footnoteRef/>
      </w:r>
      <w:r>
        <w:t xml:space="preserve"> CCHR Annual Report for 2016, </w:t>
      </w:r>
      <w:hyperlink r:id="rId73" w:history="1">
        <w:r w:rsidRPr="0091473F">
          <w:rPr>
            <w:rStyle w:val="Hyperlink"/>
          </w:rPr>
          <w:t>https://www.nyc.gov/assets/cchr/downloads/pdf/publications/AnnualReport2016FINAL.pdf</w:t>
        </w:r>
      </w:hyperlink>
      <w:r>
        <w:t>.</w:t>
      </w:r>
    </w:p>
  </w:footnote>
  <w:footnote w:id="77">
    <w:p w14:paraId="4D29BAE2" w14:textId="77777777" w:rsidR="00213A3A" w:rsidRDefault="00213A3A" w:rsidP="00213A3A">
      <w:pPr>
        <w:pStyle w:val="FootnoteText"/>
      </w:pPr>
      <w:r>
        <w:rPr>
          <w:rStyle w:val="FootnoteReference"/>
        </w:rPr>
        <w:footnoteRef/>
      </w:r>
      <w:r>
        <w:t xml:space="preserve"> CCHR Annual Report for 2017, </w:t>
      </w:r>
      <w:hyperlink r:id="rId74" w:history="1">
        <w:r w:rsidRPr="0091473F">
          <w:rPr>
            <w:rStyle w:val="Hyperlink"/>
          </w:rPr>
          <w:t>https://www.nyc.gov/assets/cchr/downloads/pdf/publications/2017YearEndReviewFINAL.pdf</w:t>
        </w:r>
      </w:hyperlink>
      <w:r>
        <w:t xml:space="preserve">. </w:t>
      </w:r>
    </w:p>
  </w:footnote>
  <w:footnote w:id="78">
    <w:p w14:paraId="54F33BC7" w14:textId="77777777" w:rsidR="00213A3A" w:rsidRDefault="00213A3A" w:rsidP="00213A3A">
      <w:pPr>
        <w:pStyle w:val="FootnoteText"/>
      </w:pPr>
      <w:r>
        <w:rPr>
          <w:rStyle w:val="FootnoteReference"/>
        </w:rPr>
        <w:footnoteRef/>
      </w:r>
      <w:r>
        <w:t xml:space="preserve"> Testimony of </w:t>
      </w:r>
      <w:r w:rsidRPr="00266259">
        <w:t>Dana Sussman Deputy Commissioner for Policy and Intergovernmental Affairs New York City Commission on Human Rights Before the Committee on Civil and Human Rights</w:t>
      </w:r>
      <w:r>
        <w:t xml:space="preserve"> (Jan. </w:t>
      </w:r>
      <w:r w:rsidRPr="00266259">
        <w:t>22, 2020</w:t>
      </w:r>
      <w:r>
        <w:t xml:space="preserve">), </w:t>
      </w:r>
      <w:r>
        <w:rPr>
          <w:i/>
          <w:iCs/>
        </w:rPr>
        <w:t xml:space="preserve">available at </w:t>
      </w:r>
      <w:hyperlink r:id="rId75" w:history="1">
        <w:r w:rsidRPr="0091473F">
          <w:rPr>
            <w:rStyle w:val="Hyperlink"/>
          </w:rPr>
          <w:t>https://perma.cc/P3J9-BZ4E</w:t>
        </w:r>
      </w:hyperlink>
      <w:r>
        <w:t>.</w:t>
      </w:r>
    </w:p>
  </w:footnote>
  <w:footnote w:id="79">
    <w:p w14:paraId="12492CAB" w14:textId="77777777" w:rsidR="00213A3A" w:rsidRPr="00990612" w:rsidRDefault="00213A3A" w:rsidP="00213A3A">
      <w:pPr>
        <w:pStyle w:val="FootnoteText"/>
        <w:rPr>
          <w:i/>
          <w:iCs/>
        </w:rPr>
      </w:pPr>
      <w:r>
        <w:rPr>
          <w:rStyle w:val="FootnoteReference"/>
        </w:rPr>
        <w:footnoteRef/>
      </w:r>
      <w:r>
        <w:t xml:space="preserve"> </w:t>
      </w:r>
      <w:r>
        <w:rPr>
          <w:i/>
          <w:iCs/>
        </w:rPr>
        <w:t>Id.</w:t>
      </w:r>
    </w:p>
  </w:footnote>
  <w:footnote w:id="80">
    <w:p w14:paraId="1C435AC3" w14:textId="77777777" w:rsidR="00213A3A" w:rsidRDefault="00213A3A" w:rsidP="00213A3A">
      <w:pPr>
        <w:pStyle w:val="FootnoteText"/>
      </w:pPr>
      <w:r>
        <w:rPr>
          <w:rStyle w:val="FootnoteReference"/>
        </w:rPr>
        <w:footnoteRef/>
      </w:r>
      <w:r>
        <w:t xml:space="preserve"> </w:t>
      </w:r>
      <w:r w:rsidRPr="00154166">
        <w:t xml:space="preserve">Allison Que, </w:t>
      </w:r>
      <w:r w:rsidRPr="002D77EE">
        <w:rPr>
          <w:i/>
          <w:iCs/>
        </w:rPr>
        <w:t>Two Years of New York City’s Fair Chance Act: From Robust Legislation to Effective Enforcement</w:t>
      </w:r>
      <w:r w:rsidRPr="00154166">
        <w:t xml:space="preserve">, Nat’l Emp. L. Project (Nov. 7, 2017), </w:t>
      </w:r>
      <w:hyperlink r:id="rId76" w:history="1">
        <w:r w:rsidRPr="0091473F">
          <w:rPr>
            <w:rStyle w:val="Hyperlink"/>
          </w:rPr>
          <w:t>https://www.nelp.org/blog/two-years-of-new-york-citys-fair-chance-act-fromrobust-legislation-to-effective-enforcement/</w:t>
        </w:r>
      </w:hyperlink>
      <w:r>
        <w:t>.</w:t>
      </w:r>
    </w:p>
  </w:footnote>
  <w:footnote w:id="81">
    <w:p w14:paraId="5EFDBEFC" w14:textId="69919F90" w:rsidR="00213A3A" w:rsidRPr="00911F6F" w:rsidRDefault="00213A3A" w:rsidP="00213A3A">
      <w:pPr>
        <w:pStyle w:val="FootnoteText"/>
      </w:pPr>
      <w:r>
        <w:rPr>
          <w:rStyle w:val="FootnoteReference"/>
        </w:rPr>
        <w:footnoteRef/>
      </w:r>
      <w:r w:rsidR="5F694DAD">
        <w:t xml:space="preserve"> </w:t>
      </w:r>
      <w:r w:rsidR="5F694DAD" w:rsidRPr="5F694DAD">
        <w:rPr>
          <w:i/>
          <w:iCs/>
        </w:rPr>
        <w:t>See id.;</w:t>
      </w:r>
      <w:r>
        <w:t xml:space="preserve"> </w:t>
      </w:r>
      <w:r w:rsidRPr="00911F6F">
        <w:t xml:space="preserve">Gurjot Kaur </w:t>
      </w:r>
      <w:r>
        <w:t xml:space="preserve">&amp; </w:t>
      </w:r>
      <w:r w:rsidRPr="00911F6F">
        <w:t>Dana Sussma</w:t>
      </w:r>
      <w:r>
        <w:t xml:space="preserve">n, </w:t>
      </w:r>
      <w:r w:rsidRPr="00911F6F">
        <w:rPr>
          <w:i/>
          <w:iCs/>
        </w:rPr>
        <w:t xml:space="preserve">Unlocking </w:t>
      </w:r>
      <w:r>
        <w:rPr>
          <w:i/>
          <w:iCs/>
        </w:rPr>
        <w:t xml:space="preserve">the </w:t>
      </w:r>
      <w:r w:rsidRPr="00911F6F">
        <w:rPr>
          <w:i/>
          <w:iCs/>
        </w:rPr>
        <w:t xml:space="preserve">Power </w:t>
      </w:r>
      <w:r>
        <w:rPr>
          <w:i/>
          <w:iCs/>
        </w:rPr>
        <w:t xml:space="preserve">and </w:t>
      </w:r>
      <w:r w:rsidRPr="00911F6F">
        <w:rPr>
          <w:i/>
          <w:iCs/>
        </w:rPr>
        <w:t>Possibility</w:t>
      </w:r>
      <w:r>
        <w:rPr>
          <w:i/>
          <w:iCs/>
        </w:rPr>
        <w:t xml:space="preserve"> of </w:t>
      </w:r>
      <w:r w:rsidRPr="00911F6F">
        <w:rPr>
          <w:i/>
          <w:iCs/>
        </w:rPr>
        <w:t xml:space="preserve">Local Enforcement </w:t>
      </w:r>
      <w:r>
        <w:rPr>
          <w:i/>
          <w:iCs/>
        </w:rPr>
        <w:t xml:space="preserve">of </w:t>
      </w:r>
      <w:r w:rsidRPr="00911F6F">
        <w:rPr>
          <w:i/>
          <w:iCs/>
        </w:rPr>
        <w:t xml:space="preserve">Human </w:t>
      </w:r>
      <w:r>
        <w:rPr>
          <w:i/>
          <w:iCs/>
        </w:rPr>
        <w:t xml:space="preserve">and </w:t>
      </w:r>
      <w:r w:rsidRPr="00911F6F">
        <w:rPr>
          <w:i/>
          <w:iCs/>
        </w:rPr>
        <w:t>Civil Rights: Lessons Learned From</w:t>
      </w:r>
      <w:r>
        <w:rPr>
          <w:i/>
          <w:iCs/>
        </w:rPr>
        <w:t xml:space="preserve"> the </w:t>
      </w:r>
      <w:r w:rsidRPr="00911F6F">
        <w:rPr>
          <w:i/>
          <w:iCs/>
        </w:rPr>
        <w:t xml:space="preserve">NYC Commission </w:t>
      </w:r>
      <w:r>
        <w:rPr>
          <w:i/>
          <w:iCs/>
        </w:rPr>
        <w:t xml:space="preserve">on </w:t>
      </w:r>
      <w:r w:rsidRPr="00911F6F">
        <w:rPr>
          <w:i/>
          <w:iCs/>
        </w:rPr>
        <w:t>Human Rights</w:t>
      </w:r>
      <w:r>
        <w:t xml:space="preserve">, Columbia Human Rts. L. Rev. 51.2 at 629–30 (Feb. 2020), </w:t>
      </w:r>
      <w:hyperlink r:id="rId77">
        <w:r w:rsidR="5F694DAD" w:rsidRPr="5F694DAD">
          <w:rPr>
            <w:rStyle w:val="Hyperlink"/>
          </w:rPr>
          <w:t>https://hrlr.law.columbia.edu/files/2020/02/51.2.3-Kaur-and-Sussman.pdf</w:t>
        </w:r>
      </w:hyperlink>
      <w:r w:rsidR="5F694DAD">
        <w:t xml:space="preserve">. </w:t>
      </w:r>
    </w:p>
  </w:footnote>
  <w:footnote w:id="82">
    <w:p w14:paraId="62049495" w14:textId="77777777" w:rsidR="00B11A7A" w:rsidRDefault="00B11A7A" w:rsidP="00B11A7A">
      <w:pPr>
        <w:pStyle w:val="FootnoteText"/>
      </w:pPr>
      <w:r>
        <w:rPr>
          <w:rStyle w:val="FootnoteReference"/>
        </w:rPr>
        <w:footnoteRef/>
      </w:r>
      <w:r>
        <w:t xml:space="preserve"> CCHR Annual Report for 2016, </w:t>
      </w:r>
      <w:hyperlink r:id="rId78" w:history="1">
        <w:r w:rsidRPr="0091473F">
          <w:rPr>
            <w:rStyle w:val="Hyperlink"/>
          </w:rPr>
          <w:t>https://www.nyc.gov/assets/cchr/downloads/pdf/publications/AnnualReport2016FINAL.pdf</w:t>
        </w:r>
      </w:hyperlink>
      <w:r>
        <w:t xml:space="preserve">; CCHR Annual Report for 2017, </w:t>
      </w:r>
      <w:hyperlink r:id="rId79" w:history="1">
        <w:r w:rsidRPr="0091473F">
          <w:rPr>
            <w:rStyle w:val="Hyperlink"/>
          </w:rPr>
          <w:t>https://www.nyc.gov/assets/cchr/downloads/pdf/publications/2017YearEndReviewFINAL.pdf</w:t>
        </w:r>
      </w:hyperlink>
      <w:r>
        <w:t xml:space="preserve">.  </w:t>
      </w:r>
    </w:p>
  </w:footnote>
  <w:footnote w:id="83">
    <w:p w14:paraId="718F306D" w14:textId="333C4A3F" w:rsidR="00B11A7A" w:rsidRDefault="00B11A7A" w:rsidP="00B11A7A">
      <w:pPr>
        <w:pStyle w:val="FootnoteText"/>
      </w:pPr>
      <w:r>
        <w:rPr>
          <w:rStyle w:val="FootnoteReference"/>
        </w:rPr>
        <w:footnoteRef/>
      </w:r>
      <w:r>
        <w:t xml:space="preserve"> This total includes Commission-initiated complaints. CCHR Annual Report for 2024, </w:t>
      </w:r>
      <w:hyperlink r:id="rId80" w:history="1">
        <w:r w:rsidRPr="0091473F">
          <w:rPr>
            <w:rStyle w:val="Hyperlink"/>
          </w:rPr>
          <w:t>https://www.nyc.gov/assets/cchr/downloads/pdf/publications/AnnualReport2024.pdf</w:t>
        </w:r>
      </w:hyperlink>
      <w:r>
        <w:t xml:space="preserve">; CCHR Annual Report for 2025, </w:t>
      </w:r>
      <w:hyperlink r:id="rId81" w:history="1">
        <w:r w:rsidRPr="0091473F">
          <w:rPr>
            <w:rStyle w:val="Hyperlink"/>
          </w:rPr>
          <w:t>https://www.nyc.gov/assets/cchr/downloads/pdf/publications/AnnualReport2025.pdf</w:t>
        </w:r>
      </w:hyperlink>
      <w:r>
        <w:t xml:space="preserve">. </w:t>
      </w:r>
      <w:r w:rsidR="000F1963">
        <w:t xml:space="preserve">CCHR also recorded 54 and 55 inquiries linked to FCA Employment discrimination in those years, representing, respectively, 2 and 3 percent of all inquiries where a protected class was identified (less than half, proportionally, compared to the number of FCA Employment inquiries in 2016). CCHR Annual Report for 2024, </w:t>
      </w:r>
      <w:hyperlink r:id="rId82" w:history="1">
        <w:r w:rsidR="000F1963" w:rsidRPr="0091473F">
          <w:rPr>
            <w:rStyle w:val="Hyperlink"/>
          </w:rPr>
          <w:t>https://www.nyc.gov/assets/cchr/downloads/pdf/publications/AnnualReport2024.pdf</w:t>
        </w:r>
      </w:hyperlink>
      <w:r w:rsidR="000F1963">
        <w:t xml:space="preserve">; CCHR Annual Report for 2025, </w:t>
      </w:r>
      <w:hyperlink r:id="rId83" w:history="1">
        <w:r w:rsidR="000F1963" w:rsidRPr="0091473F">
          <w:rPr>
            <w:rStyle w:val="Hyperlink"/>
          </w:rPr>
          <w:t>https://www.nyc.gov/assets/cchr/downloads/pdf/publications/AnnualReport2025.pdf</w:t>
        </w:r>
      </w:hyperlink>
      <w:r w:rsidR="000F1963">
        <w:t xml:space="preserve">; CCHR Annual Report for 2016, </w:t>
      </w:r>
      <w:r w:rsidR="000F1963" w:rsidRPr="003D18D2">
        <w:rPr>
          <w:i/>
          <w:iCs/>
        </w:rPr>
        <w:t>available at</w:t>
      </w:r>
      <w:r w:rsidR="000F1963">
        <w:t xml:space="preserve"> </w:t>
      </w:r>
      <w:hyperlink r:id="rId84" w:history="1">
        <w:r w:rsidR="000F1963" w:rsidRPr="0091473F">
          <w:rPr>
            <w:rStyle w:val="Hyperlink"/>
          </w:rPr>
          <w:t>https://www.nyc.gov/site/cchr/media/reports/annual-reports.page</w:t>
        </w:r>
      </w:hyperlink>
      <w:r w:rsidR="000F1963">
        <w:t>.</w:t>
      </w:r>
    </w:p>
  </w:footnote>
  <w:footnote w:id="84">
    <w:p w14:paraId="1BDF5CA2" w14:textId="77777777" w:rsidR="00993945" w:rsidRPr="00FB2B34" w:rsidRDefault="00993945" w:rsidP="00993945">
      <w:pPr>
        <w:pStyle w:val="FootnoteText"/>
      </w:pPr>
      <w:r>
        <w:rPr>
          <w:rStyle w:val="FootnoteReference"/>
        </w:rPr>
        <w:footnoteRef/>
      </w:r>
      <w:r>
        <w:t xml:space="preserve"> </w:t>
      </w:r>
      <w:r>
        <w:rPr>
          <w:i/>
          <w:iCs/>
        </w:rPr>
        <w:t>See, e.g.</w:t>
      </w:r>
      <w:r>
        <w:t xml:space="preserve">, CCHR Annual Report for 2016, </w:t>
      </w:r>
      <w:r w:rsidRPr="003D18D2">
        <w:rPr>
          <w:i/>
          <w:iCs/>
        </w:rPr>
        <w:t>available at</w:t>
      </w:r>
      <w:r>
        <w:t xml:space="preserve"> </w:t>
      </w:r>
      <w:hyperlink r:id="rId85" w:history="1">
        <w:r w:rsidRPr="0091473F">
          <w:rPr>
            <w:rStyle w:val="Hyperlink"/>
          </w:rPr>
          <w:t>https://www.nyc.gov/site/cchr/media/reports/annual-reports.page</w:t>
        </w:r>
      </w:hyperlink>
      <w:r>
        <w:t xml:space="preserve">. Pre-complaint interventions have historically been carried out primarily by the Community Relations Bureau, but the Law Enforcement Bureau has handled dozens of these matters as well. </w:t>
      </w:r>
      <w:r>
        <w:rPr>
          <w:i/>
        </w:rPr>
        <w:t>Id.</w:t>
      </w:r>
      <w:r>
        <w:t xml:space="preserve"> </w:t>
      </w:r>
      <w:r>
        <w:rPr>
          <w:i/>
          <w:iCs/>
        </w:rPr>
        <w:t xml:space="preserve"> </w:t>
      </w:r>
      <w:r>
        <w:t xml:space="preserve"> </w:t>
      </w:r>
    </w:p>
  </w:footnote>
  <w:footnote w:id="85">
    <w:p w14:paraId="62F17A7B" w14:textId="77777777" w:rsidR="00993945" w:rsidRPr="00FB2B34" w:rsidRDefault="00993945" w:rsidP="00993945">
      <w:pPr>
        <w:pStyle w:val="FootnoteText"/>
      </w:pPr>
      <w:r>
        <w:rPr>
          <w:rStyle w:val="FootnoteReference"/>
        </w:rPr>
        <w:footnoteRef/>
      </w:r>
      <w:r>
        <w:t xml:space="preserve"> </w:t>
      </w:r>
      <w:r>
        <w:rPr>
          <w:i/>
          <w:iCs/>
        </w:rPr>
        <w:t xml:space="preserve">See </w:t>
      </w:r>
      <w:r>
        <w:t xml:space="preserve">CCHR Annual Reports for the years 2016–2021, </w:t>
      </w:r>
      <w:r w:rsidRPr="003D18D2">
        <w:rPr>
          <w:i/>
          <w:iCs/>
        </w:rPr>
        <w:t>available at</w:t>
      </w:r>
      <w:r>
        <w:t xml:space="preserve"> </w:t>
      </w:r>
      <w:hyperlink r:id="rId86" w:history="1">
        <w:r w:rsidRPr="0091473F">
          <w:rPr>
            <w:rStyle w:val="Hyperlink"/>
          </w:rPr>
          <w:t>https://www.nyc.gov/site/cchr/media/reports/annual-reports.page</w:t>
        </w:r>
      </w:hyperlink>
      <w:r>
        <w:t xml:space="preserve">.  </w:t>
      </w:r>
    </w:p>
  </w:footnote>
  <w:footnote w:id="86">
    <w:p w14:paraId="63A6B60A" w14:textId="77777777" w:rsidR="008E3E34" w:rsidRPr="00862692" w:rsidRDefault="008E3E34" w:rsidP="008E3E34">
      <w:pPr>
        <w:pStyle w:val="FootnoteText"/>
        <w:rPr>
          <w:i/>
          <w:iCs/>
        </w:rPr>
      </w:pPr>
      <w:r>
        <w:rPr>
          <w:rStyle w:val="FootnoteReference"/>
        </w:rPr>
        <w:footnoteRef/>
      </w:r>
      <w:r>
        <w:t xml:space="preserve"> </w:t>
      </w:r>
      <w:r>
        <w:rPr>
          <w:i/>
          <w:iCs/>
        </w:rPr>
        <w:t>Id.</w:t>
      </w:r>
    </w:p>
  </w:footnote>
  <w:footnote w:id="87">
    <w:p w14:paraId="42A0577C" w14:textId="231774DB" w:rsidR="00ED3AB0" w:rsidRPr="00ED3AB0" w:rsidRDefault="00ED3AB0">
      <w:pPr>
        <w:pStyle w:val="FootnoteText"/>
        <w:rPr>
          <w:i/>
          <w:iCs/>
        </w:rPr>
      </w:pPr>
      <w:r>
        <w:rPr>
          <w:rStyle w:val="FootnoteReference"/>
        </w:rPr>
        <w:footnoteRef/>
      </w:r>
      <w:r>
        <w:t xml:space="preserve"> </w:t>
      </w:r>
      <w:r>
        <w:rPr>
          <w:i/>
          <w:iCs/>
        </w:rPr>
        <w:t>See id.</w:t>
      </w:r>
    </w:p>
  </w:footnote>
  <w:footnote w:id="88">
    <w:p w14:paraId="297B0FA6" w14:textId="0D831A2C" w:rsidR="00993945" w:rsidRDefault="00993945" w:rsidP="00993945">
      <w:pPr>
        <w:pStyle w:val="FootnoteText"/>
      </w:pPr>
      <w:r>
        <w:rPr>
          <w:rStyle w:val="FootnoteReference"/>
        </w:rPr>
        <w:footnoteRef/>
      </w:r>
      <w:r>
        <w:t xml:space="preserve"> In FY 2024 and 2025, 54 and 58 percent of all inquiries under the Fair Chance law in those years were converted to claims, representing 5 percent of total claims filed as complaints in both years. A single complaint can include multiple claims of discrimination; in FY’24 and ‘25, CCHR brought 366 and 396 complaints, respectively, that encompassed 601 and 626 claims, respectively. In FY 2016, this percentage was even higher, with 69 percent of all Fair Chance inquiries leading to a claim filed. </w:t>
      </w:r>
      <w:r w:rsidR="008E3E34">
        <w:t xml:space="preserve">CCHR Annual Reports for the years 2016, 2024, and 2025, </w:t>
      </w:r>
      <w:r w:rsidR="008E3E34" w:rsidRPr="003D18D2">
        <w:rPr>
          <w:i/>
          <w:iCs/>
        </w:rPr>
        <w:t>available at</w:t>
      </w:r>
      <w:r w:rsidR="008E3E34">
        <w:t xml:space="preserve"> </w:t>
      </w:r>
      <w:hyperlink r:id="rId87" w:history="1">
        <w:r w:rsidR="008E3E34" w:rsidRPr="0091473F">
          <w:rPr>
            <w:rStyle w:val="Hyperlink"/>
          </w:rPr>
          <w:t>https://www.nyc.gov/site/cchr/media/reports/annual-reports.page</w:t>
        </w:r>
      </w:hyperlink>
      <w:r w:rsidR="008E3E34">
        <w:t>.</w:t>
      </w:r>
      <w:r>
        <w:t xml:space="preserve"> </w:t>
      </w:r>
    </w:p>
  </w:footnote>
  <w:footnote w:id="89">
    <w:p w14:paraId="0318B908" w14:textId="4155D303" w:rsidR="0049630D" w:rsidRPr="0049630D" w:rsidRDefault="0049630D">
      <w:pPr>
        <w:pStyle w:val="FootnoteText"/>
      </w:pPr>
      <w:r>
        <w:rPr>
          <w:rStyle w:val="FootnoteReference"/>
        </w:rPr>
        <w:footnoteRef/>
      </w:r>
      <w:r>
        <w:t xml:space="preserve"> NYS Comptroller</w:t>
      </w:r>
      <w:r w:rsidR="00A40FA8">
        <w:t xml:space="preserve"> </w:t>
      </w:r>
      <w:r>
        <w:t xml:space="preserve">Thomas DiNapoli, </w:t>
      </w:r>
      <w:r w:rsidRPr="002E2A50">
        <w:rPr>
          <w:i/>
          <w:iCs/>
        </w:rPr>
        <w:t xml:space="preserve">DiNapoli: Housing Discrimination Complaints Languish at NYC Commission on Human Rights </w:t>
      </w:r>
      <w:r>
        <w:t xml:space="preserve">(Dec. 4, 2025), </w:t>
      </w:r>
      <w:hyperlink r:id="rId88" w:history="1">
        <w:r w:rsidRPr="0091473F">
          <w:rPr>
            <w:rStyle w:val="Hyperlink"/>
          </w:rPr>
          <w:t>https://www.osc.ny.gov/press/releases/2025/12/dinapoli-housing-discrimination-complaints-languish-nyc-commission-human-rights</w:t>
        </w:r>
      </w:hyperlink>
      <w:r>
        <w:t>.</w:t>
      </w:r>
    </w:p>
  </w:footnote>
  <w:footnote w:id="90">
    <w:p w14:paraId="61E9A522" w14:textId="77777777" w:rsidR="00FD69BC" w:rsidRDefault="00FD69BC" w:rsidP="00FD69BC">
      <w:pPr>
        <w:pStyle w:val="FootnoteText"/>
      </w:pPr>
      <w:r w:rsidRPr="00BC771E">
        <w:rPr>
          <w:rStyle w:val="FootnoteReference"/>
        </w:rPr>
        <w:footnoteRef/>
      </w:r>
      <w:r w:rsidRPr="00BC771E">
        <w:t xml:space="preserve"> </w:t>
      </w:r>
      <w:r>
        <w:rPr>
          <w:i/>
          <w:iCs/>
        </w:rPr>
        <w:t xml:space="preserve">See </w:t>
      </w:r>
      <w:r>
        <w:t xml:space="preserve">CCHR Annual Reports for the years 2016, 2017, 2023, and 2025, </w:t>
      </w:r>
      <w:r w:rsidRPr="003D18D2">
        <w:rPr>
          <w:i/>
          <w:iCs/>
        </w:rPr>
        <w:t>available at</w:t>
      </w:r>
      <w:r>
        <w:t xml:space="preserve"> </w:t>
      </w:r>
      <w:hyperlink r:id="rId89" w:history="1">
        <w:r w:rsidRPr="0091473F">
          <w:rPr>
            <w:rStyle w:val="Hyperlink"/>
          </w:rPr>
          <w:t>https://www.nyc.gov/site/cchr/media/reports/annual-reports.page</w:t>
        </w:r>
      </w:hyperlink>
      <w:r>
        <w:t xml:space="preserve">.  </w:t>
      </w:r>
    </w:p>
  </w:footnote>
  <w:footnote w:id="91">
    <w:p w14:paraId="1A932D6B" w14:textId="77777777" w:rsidR="00993945" w:rsidRPr="008F076C" w:rsidRDefault="00993945" w:rsidP="00993945">
      <w:pPr>
        <w:pStyle w:val="FootnoteText"/>
      </w:pPr>
      <w:r>
        <w:rPr>
          <w:rStyle w:val="FootnoteReference"/>
        </w:rPr>
        <w:footnoteRef/>
      </w:r>
      <w:r>
        <w:t xml:space="preserve"> </w:t>
      </w:r>
      <w:r>
        <w:rPr>
          <w:i/>
          <w:iCs/>
        </w:rPr>
        <w:t>Id.</w:t>
      </w:r>
      <w:r>
        <w:t xml:space="preserve">; NYC Comptroller Agency Staffing Dashboard (showing only 98 employees at the agency’s staffing nadir in August 2025), </w:t>
      </w:r>
      <w:hyperlink r:id="rId90" w:history="1">
        <w:r w:rsidRPr="0091473F">
          <w:rPr>
            <w:rStyle w:val="Hyperlink"/>
          </w:rPr>
          <w:t>https://comptroller.nyc.gov/services/for-the-public/nyc-agency-staffing-dashboard/authorized-vs-actual-staffing-with-vacancy-rates/</w:t>
        </w:r>
      </w:hyperlink>
      <w:r>
        <w:t xml:space="preserve">. </w:t>
      </w:r>
    </w:p>
  </w:footnote>
  <w:footnote w:id="92">
    <w:p w14:paraId="1B4221CA" w14:textId="283D0C9F" w:rsidR="00993945" w:rsidRDefault="00993945" w:rsidP="00993945">
      <w:pPr>
        <w:pStyle w:val="FootnoteText"/>
      </w:pPr>
      <w:r>
        <w:rPr>
          <w:rStyle w:val="FootnoteReference"/>
        </w:rPr>
        <w:footnoteRef/>
      </w:r>
      <w:r>
        <w:t xml:space="preserve"> </w:t>
      </w:r>
      <w:r>
        <w:rPr>
          <w:i/>
          <w:iCs/>
        </w:rPr>
        <w:t xml:space="preserve">See </w:t>
      </w:r>
      <w:r>
        <w:t xml:space="preserve">CCHR Annual Reports for the years 2016 and 2025 (showing an increase from 8330 inquiries in FY 2016 to 15,507 in FY 2025) (reporting in the CCHR 2016 Annual Report that 9 Human Rights Specialists staff the Infoline), </w:t>
      </w:r>
      <w:r w:rsidRPr="003D18D2">
        <w:rPr>
          <w:i/>
          <w:iCs/>
        </w:rPr>
        <w:t>available at</w:t>
      </w:r>
      <w:r>
        <w:t xml:space="preserve"> </w:t>
      </w:r>
      <w:hyperlink r:id="rId91" w:history="1">
        <w:r w:rsidRPr="0091473F">
          <w:rPr>
            <w:rStyle w:val="Hyperlink"/>
          </w:rPr>
          <w:t>https://www.nyc.gov/site/cchr/media/reports/annual-reports.page</w:t>
        </w:r>
      </w:hyperlink>
      <w:r>
        <w:t xml:space="preserve">; CCHR reported to Committee staff in early 2026 that CCHR has 8 staff members that run the Infoline. </w:t>
      </w:r>
    </w:p>
  </w:footnote>
  <w:footnote w:id="93">
    <w:p w14:paraId="5316F389" w14:textId="4919FD9D" w:rsidR="00993945" w:rsidRDefault="00993945" w:rsidP="00993945">
      <w:pPr>
        <w:pStyle w:val="FootnoteText"/>
      </w:pPr>
      <w:r>
        <w:rPr>
          <w:rStyle w:val="FootnoteReference"/>
        </w:rPr>
        <w:footnoteRef/>
      </w:r>
      <w:r>
        <w:t xml:space="preserve"> CCHR Annual Report for 2016, </w:t>
      </w:r>
      <w:r w:rsidRPr="003D18D2">
        <w:rPr>
          <w:i/>
          <w:iCs/>
        </w:rPr>
        <w:t>available at</w:t>
      </w:r>
      <w:r>
        <w:t xml:space="preserve"> </w:t>
      </w:r>
      <w:hyperlink r:id="rId92" w:history="1">
        <w:r w:rsidRPr="0091473F">
          <w:rPr>
            <w:rStyle w:val="Hyperlink"/>
          </w:rPr>
          <w:t>https://www.nyc.gov/site/cchr/media/reports/annual-reports.page</w:t>
        </w:r>
      </w:hyperlink>
      <w:r>
        <w:t>; CCHR reported to Committee staff in early 2026 that CCHR has 8 staff members that run the Infoline.</w:t>
      </w:r>
    </w:p>
  </w:footnote>
  <w:footnote w:id="94">
    <w:p w14:paraId="2D448AF0" w14:textId="77777777" w:rsidR="00993945" w:rsidRDefault="00993945" w:rsidP="00993945">
      <w:pPr>
        <w:pStyle w:val="FootnoteText"/>
      </w:pPr>
      <w:r>
        <w:rPr>
          <w:rStyle w:val="FootnoteReference"/>
        </w:rPr>
        <w:footnoteRef/>
      </w:r>
      <w:r>
        <w:t xml:space="preserve"> </w:t>
      </w:r>
      <w:r>
        <w:rPr>
          <w:i/>
          <w:iCs/>
        </w:rPr>
        <w:t xml:space="preserve">See generally </w:t>
      </w:r>
      <w:r>
        <w:t xml:space="preserve">Christopher Herring &amp; Sandra Susan Smith, </w:t>
      </w:r>
      <w:r w:rsidRPr="00D065E6">
        <w:rPr>
          <w:i/>
          <w:iCs/>
        </w:rPr>
        <w:t>The Limits of Ban-the-Box Legislation</w:t>
      </w:r>
      <w:r>
        <w:t xml:space="preserve">, Inst. for Research on Labor &amp; Employment (IRLE) (March 14, 2022) (documenting ), </w:t>
      </w:r>
      <w:hyperlink r:id="rId93" w:history="1">
        <w:r w:rsidRPr="0091473F">
          <w:rPr>
            <w:rStyle w:val="Hyperlink"/>
          </w:rPr>
          <w:t>https://irle.berkeley.edu/wp-content/uploads/2022/03/The-Limits-of-Ban-the-Box-Legislation-1.pdf</w:t>
        </w:r>
      </w:hyperlink>
      <w:r>
        <w:t xml:space="preserve">. </w:t>
      </w:r>
    </w:p>
  </w:footnote>
  <w:footnote w:id="95">
    <w:p w14:paraId="3992EC22" w14:textId="77777777" w:rsidR="00993945" w:rsidRDefault="00993945" w:rsidP="00993945">
      <w:pPr>
        <w:pStyle w:val="FootnoteText"/>
      </w:pPr>
      <w:r>
        <w:rPr>
          <w:rStyle w:val="FootnoteReference"/>
        </w:rPr>
        <w:footnoteRef/>
      </w:r>
      <w:r>
        <w:t xml:space="preserve"> </w:t>
      </w:r>
      <w:r w:rsidRPr="00BD34C6">
        <w:t>In FY 2023, CCHR reported that 390 tests were conducted for discrimination based on arrest record, and 389 were conducted for discrimination based on conviction record, representing 63 percent of all 1,242 tests conducted that fiscal year.</w:t>
      </w:r>
      <w:r>
        <w:t xml:space="preserve"> CCHR Annual Report for 2023, </w:t>
      </w:r>
      <w:hyperlink r:id="rId94" w:history="1">
        <w:r w:rsidRPr="0091473F">
          <w:rPr>
            <w:rStyle w:val="Hyperlink"/>
          </w:rPr>
          <w:t>https://www.nyc.gov/assets/cchr/downloads/pdf/publications/AnnualReport2023.pdf</w:t>
        </w:r>
      </w:hyperlink>
      <w:r>
        <w:t>. Historically</w:t>
      </w:r>
      <w:r w:rsidRPr="009910B9">
        <w:t xml:space="preserve">, the most frequent type of employment discrimination in CCHR-initiated investigations </w:t>
      </w:r>
      <w:r>
        <w:t xml:space="preserve">has been </w:t>
      </w:r>
      <w:r w:rsidRPr="009910B9">
        <w:t>for Fair Chance violations</w:t>
      </w:r>
      <w:r>
        <w:t>.</w:t>
      </w:r>
      <w:r w:rsidRPr="009910B9">
        <w:t xml:space="preserve"> </w:t>
      </w:r>
      <w:r>
        <w:rPr>
          <w:i/>
          <w:iCs/>
        </w:rPr>
        <w:t>See, e.g.</w:t>
      </w:r>
      <w:r>
        <w:t xml:space="preserve">, Testimony of </w:t>
      </w:r>
      <w:r w:rsidRPr="009910B9">
        <w:t>Carmelyn P. Malalis</w:t>
      </w:r>
      <w:r>
        <w:t xml:space="preserve"> before the Committee on Civil and Human Rights, March 16, 2018, </w:t>
      </w:r>
      <w:hyperlink r:id="rId95" w:history="1">
        <w:r w:rsidRPr="009910B9">
          <w:rPr>
            <w:rStyle w:val="Hyperlink"/>
          </w:rPr>
          <w:t>https://www.nyc.gov/assets/cchr/downloads/pdf/20180326_CCHR_Testimony.pdf</w:t>
        </w:r>
      </w:hyperlink>
      <w:r>
        <w:t xml:space="preserve">. </w:t>
      </w:r>
    </w:p>
  </w:footnote>
  <w:footnote w:id="96">
    <w:p w14:paraId="5479B11D" w14:textId="77777777" w:rsidR="00993945" w:rsidRDefault="00993945" w:rsidP="00993945">
      <w:pPr>
        <w:pStyle w:val="FootnoteText"/>
      </w:pPr>
      <w:r>
        <w:rPr>
          <w:rStyle w:val="FootnoteReference"/>
        </w:rPr>
        <w:footnoteRef/>
      </w:r>
      <w:r>
        <w:t xml:space="preserve"> CCHR Annual Report for 2024, </w:t>
      </w:r>
      <w:hyperlink r:id="rId96" w:history="1">
        <w:r w:rsidRPr="0091473F">
          <w:rPr>
            <w:rStyle w:val="Hyperlink"/>
          </w:rPr>
          <w:t>https://www.nyc.gov/assets/cchr/downloads/pdf/publications/AnnualReport2024.pdf</w:t>
        </w:r>
      </w:hyperlink>
      <w:r>
        <w:t>.</w:t>
      </w:r>
    </w:p>
  </w:footnote>
  <w:footnote w:id="97">
    <w:p w14:paraId="5B8C7A6D" w14:textId="77777777" w:rsidR="00993945" w:rsidRPr="009910B9" w:rsidRDefault="00993945" w:rsidP="00993945">
      <w:pPr>
        <w:pStyle w:val="FootnoteText"/>
      </w:pPr>
      <w:r>
        <w:rPr>
          <w:rStyle w:val="FootnoteReference"/>
        </w:rPr>
        <w:footnoteRef/>
      </w:r>
      <w:r>
        <w:t xml:space="preserve"> CCHR Annual Report for 2025, </w:t>
      </w:r>
      <w:hyperlink r:id="rId97" w:history="1">
        <w:r w:rsidRPr="0091473F">
          <w:rPr>
            <w:rStyle w:val="Hyperlink"/>
          </w:rPr>
          <w:t>https://www.nyc.gov/assets/cchr/downloads/pdf/publications/AnnualReport2025.pdf</w:t>
        </w:r>
      </w:hyperlink>
      <w:r>
        <w:t>.</w:t>
      </w:r>
    </w:p>
  </w:footnote>
  <w:footnote w:id="98">
    <w:p w14:paraId="3741A015" w14:textId="77777777" w:rsidR="00993945" w:rsidRDefault="00993945" w:rsidP="00993945">
      <w:pPr>
        <w:pStyle w:val="FootnoteText"/>
      </w:pPr>
      <w:r>
        <w:rPr>
          <w:rStyle w:val="FootnoteReference"/>
        </w:rPr>
        <w:footnoteRef/>
      </w:r>
      <w:r>
        <w:t xml:space="preserve"> Fair Chance in Employment complaints initiated by CCHR comprised 4</w:t>
      </w:r>
      <w:r w:rsidRPr="00A21C70">
        <w:t xml:space="preserve"> out of 85</w:t>
      </w:r>
      <w:r>
        <w:t xml:space="preserve"> total Commission-initiated complaints in FY 24 and 13 out of 85 Commission-initiated complaints in FY 2025 (representing 5 percent and 15 percent of CCHR-initiated complaints for each year, respectively). CCHR Annual Report for 2024, </w:t>
      </w:r>
      <w:hyperlink r:id="rId98" w:history="1">
        <w:r w:rsidRPr="0091473F">
          <w:rPr>
            <w:rStyle w:val="Hyperlink"/>
          </w:rPr>
          <w:t>https://www.nyc.gov/assets/cchr/downloads/pdf/publications/AnnualReport2024.pdf</w:t>
        </w:r>
      </w:hyperlink>
      <w:r>
        <w:t xml:space="preserve">; CCHR Annual Report for 2025, </w:t>
      </w:r>
      <w:hyperlink r:id="rId99" w:history="1">
        <w:r w:rsidRPr="0091473F">
          <w:rPr>
            <w:rStyle w:val="Hyperlink"/>
          </w:rPr>
          <w:t>https://www.nyc.gov/assets/cchr/downloads/pdf/publications/AnnualReport2025.pdf</w:t>
        </w:r>
      </w:hyperlink>
      <w:r>
        <w:t>.</w:t>
      </w:r>
    </w:p>
  </w:footnote>
  <w:footnote w:id="99">
    <w:p w14:paraId="59510793" w14:textId="77777777" w:rsidR="00993945" w:rsidRDefault="00993945" w:rsidP="00993945">
      <w:pPr>
        <w:pStyle w:val="FootnoteText"/>
      </w:pPr>
      <w:r>
        <w:rPr>
          <w:rStyle w:val="FootnoteReference"/>
        </w:rPr>
        <w:footnoteRef/>
      </w:r>
      <w:r>
        <w:t xml:space="preserve"> CCHR Annual Report for 2024, </w:t>
      </w:r>
      <w:hyperlink r:id="rId100" w:history="1">
        <w:r w:rsidRPr="0091473F">
          <w:rPr>
            <w:rStyle w:val="Hyperlink"/>
          </w:rPr>
          <w:t>https://www.nyc.gov/assets/cchr/downloads/pdf/publications/AnnualReport2024.pdf</w:t>
        </w:r>
      </w:hyperlink>
      <w:r>
        <w:t>; NYC CCHR, “</w:t>
      </w:r>
      <w:r w:rsidRPr="00D873E6">
        <w:t>202</w:t>
      </w:r>
      <w:r>
        <w:t>4</w:t>
      </w:r>
      <w:r w:rsidRPr="00D873E6">
        <w:t xml:space="preserve"> Settlement Highlights</w:t>
      </w:r>
      <w:r>
        <w:t xml:space="preserve">,” </w:t>
      </w:r>
      <w:hyperlink r:id="rId101" w:history="1">
        <w:r w:rsidRPr="0091473F">
          <w:rPr>
            <w:rStyle w:val="Hyperlink"/>
          </w:rPr>
          <w:t>https://www.nyc.gov/site/cchr/enforcement/2024-settlements.page</w:t>
        </w:r>
      </w:hyperlink>
      <w:r>
        <w:t xml:space="preserve"> (accessed April 21, 2026).</w:t>
      </w:r>
    </w:p>
  </w:footnote>
  <w:footnote w:id="100">
    <w:p w14:paraId="149C85F2" w14:textId="77777777" w:rsidR="00993945" w:rsidRDefault="00993945" w:rsidP="00993945">
      <w:pPr>
        <w:pStyle w:val="FootnoteText"/>
      </w:pPr>
      <w:r>
        <w:rPr>
          <w:rStyle w:val="FootnoteReference"/>
        </w:rPr>
        <w:footnoteRef/>
      </w:r>
      <w:r>
        <w:t xml:space="preserve"> NYC CCHR, “</w:t>
      </w:r>
      <w:r w:rsidRPr="00D873E6">
        <w:t>2025 Settlement Highlights</w:t>
      </w:r>
      <w:r>
        <w:t xml:space="preserve">,” </w:t>
      </w:r>
      <w:hyperlink r:id="rId102" w:history="1">
        <w:r w:rsidRPr="0091473F">
          <w:rPr>
            <w:rStyle w:val="Hyperlink"/>
          </w:rPr>
          <w:t>https://www.nyc.gov/site/cchr/enforcement/2025-settlements.page</w:t>
        </w:r>
      </w:hyperlink>
      <w:r>
        <w:t xml:space="preserve"> (accessed April 21, 2026). </w:t>
      </w:r>
    </w:p>
  </w:footnote>
  <w:footnote w:id="101">
    <w:p w14:paraId="4DEC1E9B" w14:textId="77777777" w:rsidR="00040EA7" w:rsidRDefault="00040EA7" w:rsidP="00040EA7">
      <w:pPr>
        <w:pStyle w:val="FootnoteText"/>
      </w:pPr>
      <w:r>
        <w:rPr>
          <w:rStyle w:val="FootnoteReference"/>
        </w:rPr>
        <w:footnoteRef/>
      </w:r>
      <w:r>
        <w:t xml:space="preserve"> </w:t>
      </w:r>
      <w:r>
        <w:rPr>
          <w:i/>
          <w:iCs/>
        </w:rPr>
        <w:t>See</w:t>
      </w:r>
      <w:r>
        <w:t xml:space="preserve"> Testimony of </w:t>
      </w:r>
      <w:r w:rsidRPr="00BD6C1A">
        <w:t>Annabel Palma</w:t>
      </w:r>
      <w:r>
        <w:t xml:space="preserve"> to the Committee on Civil and Human Rights on Int. 632 (Dec. 8, 2022), </w:t>
      </w:r>
      <w:r w:rsidRPr="00011C3A">
        <w:rPr>
          <w:i/>
          <w:iCs/>
        </w:rPr>
        <w:t>available at</w:t>
      </w:r>
      <w:r>
        <w:t xml:space="preserve"> </w:t>
      </w:r>
      <w:hyperlink r:id="rId103" w:history="1">
        <w:r w:rsidRPr="0091473F">
          <w:rPr>
            <w:rStyle w:val="Hyperlink"/>
          </w:rPr>
          <w:t>https://legistar.council.nyc.gov/LegislationDetail.aspx?ID=5755059&amp;GUID=1081D9A0-5626-4DE4-BB6A-142AB373A4AF&amp;Options=&amp;Search=</w:t>
        </w:r>
      </w:hyperlink>
      <w:r>
        <w:t>.</w:t>
      </w:r>
    </w:p>
  </w:footnote>
  <w:footnote w:id="102">
    <w:p w14:paraId="765EF13A" w14:textId="77777777" w:rsidR="00040EA7" w:rsidRDefault="00040EA7" w:rsidP="00040EA7">
      <w:pPr>
        <w:pStyle w:val="FootnoteText"/>
      </w:pPr>
      <w:r>
        <w:rPr>
          <w:rStyle w:val="FootnoteReference"/>
        </w:rPr>
        <w:footnoteRef/>
      </w:r>
      <w:r>
        <w:t xml:space="preserve"> CCHR Annual Report for 2025, </w:t>
      </w:r>
      <w:hyperlink r:id="rId104" w:history="1">
        <w:r w:rsidRPr="0091473F">
          <w:rPr>
            <w:rStyle w:val="Hyperlink"/>
          </w:rPr>
          <w:t>https://www.nyc.gov/assets/cchr/downloads/pdf/publications/AnnualReport2025.pdf</w:t>
        </w:r>
      </w:hyperlink>
      <w:r>
        <w:t>.</w:t>
      </w:r>
    </w:p>
  </w:footnote>
  <w:footnote w:id="103">
    <w:p w14:paraId="335944DE" w14:textId="77777777" w:rsidR="00040EA7" w:rsidRDefault="00040EA7" w:rsidP="00040EA7">
      <w:pPr>
        <w:pStyle w:val="FootnoteText"/>
      </w:pPr>
      <w:r>
        <w:rPr>
          <w:rStyle w:val="FootnoteReference"/>
        </w:rPr>
        <w:footnoteRef/>
      </w:r>
      <w:r>
        <w:t xml:space="preserve"> Partner organizations included </w:t>
      </w:r>
      <w:r w:rsidRPr="001E2EFE">
        <w:t>CAMBA, Asian Americans for Equality, Harlem Development Corporation, and Northfield Economic Development Corp</w:t>
      </w:r>
      <w:r>
        <w:t xml:space="preserve">. CCHR Annual Report for 2025, </w:t>
      </w:r>
      <w:hyperlink r:id="rId105" w:history="1">
        <w:r w:rsidRPr="0091473F">
          <w:rPr>
            <w:rStyle w:val="Hyperlink"/>
          </w:rPr>
          <w:t>https://www.nyc.gov/assets/cchr/downloads/pdf/publications/AnnualReport2025.pdf</w:t>
        </w:r>
      </w:hyperlink>
      <w:r>
        <w:t>.</w:t>
      </w:r>
    </w:p>
  </w:footnote>
  <w:footnote w:id="104">
    <w:p w14:paraId="02B3C9CD" w14:textId="77777777" w:rsidR="00040EA7" w:rsidRDefault="00040EA7" w:rsidP="00040EA7">
      <w:pPr>
        <w:pStyle w:val="FootnoteText"/>
      </w:pPr>
      <w:r>
        <w:rPr>
          <w:rStyle w:val="FootnoteReference"/>
        </w:rPr>
        <w:footnoteRef/>
      </w:r>
      <w:r>
        <w:t xml:space="preserve"> CCHR Annual Report for 2025, </w:t>
      </w:r>
      <w:hyperlink r:id="rId106" w:history="1">
        <w:r w:rsidRPr="0091473F">
          <w:rPr>
            <w:rStyle w:val="Hyperlink"/>
          </w:rPr>
          <w:t>https://www.nyc.gov/assets/cchr/downloads/pdf/publications/AnnualReport2025.pdf</w:t>
        </w:r>
      </w:hyperlink>
      <w:r>
        <w:t>.</w:t>
      </w:r>
    </w:p>
  </w:footnote>
  <w:footnote w:id="105">
    <w:p w14:paraId="46516615" w14:textId="77777777" w:rsidR="00040EA7" w:rsidRPr="00AB1603" w:rsidRDefault="00040EA7" w:rsidP="00040EA7">
      <w:pPr>
        <w:pStyle w:val="FootnoteText"/>
      </w:pPr>
      <w:r>
        <w:rPr>
          <w:rStyle w:val="FootnoteReference"/>
        </w:rPr>
        <w:footnoteRef/>
      </w:r>
      <w:r>
        <w:t xml:space="preserve"> </w:t>
      </w:r>
      <w:r>
        <w:rPr>
          <w:i/>
          <w:iCs/>
        </w:rPr>
        <w:t>See</w:t>
      </w:r>
      <w:r>
        <w:t xml:space="preserve"> </w:t>
      </w:r>
      <w:r w:rsidRPr="00AB1603">
        <w:t xml:space="preserve">Testimony of Dana Sussman Deputy Commissioner for Policy and Intergovernmental Affairs New York City Commission on Human Rights Before the Committee on Civil and Human Rights (Jan. 22, 2020), </w:t>
      </w:r>
      <w:r w:rsidRPr="00AB1603">
        <w:rPr>
          <w:i/>
          <w:iCs/>
        </w:rPr>
        <w:t>available at</w:t>
      </w:r>
      <w:r w:rsidRPr="00AB1603">
        <w:t xml:space="preserve"> </w:t>
      </w:r>
      <w:hyperlink r:id="rId107" w:history="1">
        <w:r w:rsidRPr="0091473F">
          <w:rPr>
            <w:rStyle w:val="Hyperlink"/>
          </w:rPr>
          <w:t>https://perma.cc/P3J9-BZ4E</w:t>
        </w:r>
      </w:hyperlink>
      <w:r w:rsidRPr="00AB1603">
        <w:t>.</w:t>
      </w:r>
      <w:r>
        <w:t xml:space="preserve"> </w:t>
      </w:r>
    </w:p>
  </w:footnote>
  <w:footnote w:id="106">
    <w:p w14:paraId="3BC61EB4" w14:textId="77777777" w:rsidR="00040EA7" w:rsidRDefault="00040EA7" w:rsidP="00040EA7">
      <w:pPr>
        <w:pStyle w:val="FootnoteText"/>
      </w:pPr>
      <w:r>
        <w:rPr>
          <w:rStyle w:val="FootnoteReference"/>
        </w:rPr>
        <w:footnoteRef/>
      </w:r>
      <w:r>
        <w:t xml:space="preserve"> </w:t>
      </w:r>
      <w:r w:rsidRPr="00AB1603">
        <w:rPr>
          <w:i/>
          <w:iCs/>
        </w:rPr>
        <w:t>Available at</w:t>
      </w:r>
      <w:r>
        <w:t xml:space="preserve"> </w:t>
      </w:r>
      <w:hyperlink r:id="rId108" w:history="1">
        <w:r w:rsidRPr="0091473F">
          <w:rPr>
            <w:rStyle w:val="Hyperlink"/>
          </w:rPr>
          <w:t>https://www.nyc.gov/assets/cchr/downloads/pdf/publications/FairChanceHousing-Notice.pdf</w:t>
        </w:r>
      </w:hyperlink>
      <w:r>
        <w:t xml:space="preserve">. </w:t>
      </w:r>
    </w:p>
  </w:footnote>
  <w:footnote w:id="107">
    <w:p w14:paraId="3A94BF86" w14:textId="77777777" w:rsidR="00040EA7" w:rsidRDefault="00040EA7" w:rsidP="00040EA7">
      <w:pPr>
        <w:pStyle w:val="FootnoteText"/>
      </w:pPr>
      <w:r>
        <w:rPr>
          <w:rStyle w:val="FootnoteReference"/>
        </w:rPr>
        <w:footnoteRef/>
      </w:r>
      <w:r>
        <w:t xml:space="preserve"> </w:t>
      </w:r>
      <w:r w:rsidRPr="00AB1603">
        <w:rPr>
          <w:i/>
          <w:iCs/>
        </w:rPr>
        <w:t>Available at</w:t>
      </w:r>
      <w:r>
        <w:t xml:space="preserve"> </w:t>
      </w:r>
      <w:hyperlink r:id="rId109" w:history="1">
        <w:r w:rsidRPr="0091473F">
          <w:rPr>
            <w:rStyle w:val="Hyperlink"/>
          </w:rPr>
          <w:t>https://www.nyc.gov/site/cchr/media/posters.page</w:t>
        </w:r>
      </w:hyperlink>
      <w:r>
        <w:t xml:space="preserve">. </w:t>
      </w:r>
    </w:p>
  </w:footnote>
  <w:footnote w:id="108">
    <w:p w14:paraId="7784533D" w14:textId="77777777" w:rsidR="00040EA7" w:rsidRPr="000D6319" w:rsidRDefault="00040EA7" w:rsidP="00040EA7">
      <w:pPr>
        <w:pStyle w:val="FootnoteText"/>
      </w:pPr>
      <w:r>
        <w:rPr>
          <w:rStyle w:val="FootnoteReference"/>
        </w:rPr>
        <w:footnoteRef/>
      </w:r>
      <w:r>
        <w:t xml:space="preserve"> These include user-friendly visualizations and FAQs, listed as flyers and fact sheets on CCHR’s website. </w:t>
      </w:r>
      <w:r>
        <w:rPr>
          <w:i/>
          <w:iCs/>
        </w:rPr>
        <w:t xml:space="preserve">Available at </w:t>
      </w:r>
      <w:hyperlink r:id="rId110" w:history="1">
        <w:r w:rsidRPr="000D6319">
          <w:rPr>
            <w:rStyle w:val="Hyperlink"/>
          </w:rPr>
          <w:t>https://www.nyc.gov/site/cchr/media/publications.page</w:t>
        </w:r>
      </w:hyperlink>
      <w:r w:rsidRPr="000D6319">
        <w:t xml:space="preserve"> and </w:t>
      </w:r>
      <w:hyperlink r:id="rId111" w:history="1">
        <w:r w:rsidRPr="000D6319">
          <w:rPr>
            <w:rStyle w:val="Hyperlink"/>
          </w:rPr>
          <w:t>https://www.nyc.gov/site/cchr/media/materials.page</w:t>
        </w:r>
      </w:hyperlink>
      <w:r>
        <w:t>.</w:t>
      </w:r>
    </w:p>
  </w:footnote>
  <w:footnote w:id="109">
    <w:p w14:paraId="2A7A4A04" w14:textId="77777777" w:rsidR="00040EA7" w:rsidRDefault="00040EA7" w:rsidP="00040EA7">
      <w:pPr>
        <w:pStyle w:val="FootnoteText"/>
      </w:pPr>
      <w:r>
        <w:rPr>
          <w:rStyle w:val="FootnoteReference"/>
        </w:rPr>
        <w:footnoteRef/>
      </w:r>
      <w:r>
        <w:t xml:space="preserve"> CCHR Annual Report for 2025, </w:t>
      </w:r>
      <w:hyperlink r:id="rId112" w:history="1">
        <w:r w:rsidRPr="0091473F">
          <w:rPr>
            <w:rStyle w:val="Hyperlink"/>
          </w:rPr>
          <w:t>https://www.nyc.gov/assets/cchr/downloads/pdf/publications/AnnualReport2025.pdf</w:t>
        </w:r>
      </w:hyperlink>
      <w:r>
        <w:t>.</w:t>
      </w:r>
    </w:p>
  </w:footnote>
  <w:footnote w:id="110">
    <w:p w14:paraId="5413F7C2" w14:textId="6E0CC27C" w:rsidR="00325BB5" w:rsidRPr="00325BB5" w:rsidRDefault="00325BB5" w:rsidP="00325BB5">
      <w:pPr>
        <w:pStyle w:val="FootnoteText"/>
      </w:pPr>
      <w:r>
        <w:rPr>
          <w:rStyle w:val="FootnoteReference"/>
        </w:rPr>
        <w:footnoteRef/>
      </w:r>
      <w:r>
        <w:t xml:space="preserve"> </w:t>
      </w:r>
      <w:r>
        <w:rPr>
          <w:i/>
          <w:iCs/>
        </w:rPr>
        <w:t xml:space="preserve">See </w:t>
      </w:r>
      <w:r>
        <w:t xml:space="preserve">Comm’n on </w:t>
      </w:r>
      <w:r w:rsidRPr="00325BB5">
        <w:t>Human Rights</w:t>
      </w:r>
      <w:r>
        <w:t xml:space="preserve"> </w:t>
      </w:r>
      <w:r w:rsidRPr="00325BB5">
        <w:t>CAPA Regulatory Agenda FY 2026</w:t>
      </w:r>
      <w:r>
        <w:t xml:space="preserve">, </w:t>
      </w:r>
      <w:hyperlink r:id="rId113" w:history="1">
        <w:r w:rsidRPr="0091473F">
          <w:rPr>
            <w:rStyle w:val="Hyperlink"/>
          </w:rPr>
          <w:t>https://rules.cityofnewyork.us/wp-content/uploads/2025/07/FY-26-CCHR-Regulatory-Agenda.pdf</w:t>
        </w:r>
      </w:hyperlink>
      <w:r>
        <w:t xml:space="preserve">; Mayor’s Office of Operations, </w:t>
      </w:r>
      <w:r w:rsidRPr="00325BB5">
        <w:rPr>
          <w:i/>
          <w:iCs/>
        </w:rPr>
        <w:t>Agency Regulatory Agendas for the Coming Fiscal Year</w:t>
      </w:r>
      <w:r>
        <w:t xml:space="preserve"> (showing that FY 2026 is the most recent published regulatory agenda for CCHR), </w:t>
      </w:r>
      <w:hyperlink r:id="rId114" w:history="1">
        <w:r w:rsidRPr="0091473F">
          <w:rPr>
            <w:rStyle w:val="Hyperlink"/>
          </w:rPr>
          <w:t>https://rules.cityofnewyork.us/view-agency-regulatory-agendas/</w:t>
        </w:r>
      </w:hyperlink>
      <w:r>
        <w:t xml:space="preserve"> (visited April 22, 2026).  </w:t>
      </w:r>
    </w:p>
  </w:footnote>
  <w:footnote w:id="111">
    <w:p w14:paraId="307642DC" w14:textId="77777777" w:rsidR="00040EA7" w:rsidRPr="00BD6C1A" w:rsidRDefault="00040EA7" w:rsidP="00040EA7">
      <w:pPr>
        <w:pStyle w:val="FootnoteText"/>
      </w:pPr>
      <w:r>
        <w:rPr>
          <w:rStyle w:val="FootnoteReference"/>
        </w:rPr>
        <w:footnoteRef/>
      </w:r>
      <w:r>
        <w:t xml:space="preserve"> </w:t>
      </w:r>
      <w:r>
        <w:rPr>
          <w:i/>
          <w:iCs/>
        </w:rPr>
        <w:t>See</w:t>
      </w:r>
      <w:r>
        <w:t xml:space="preserve"> CCHR Annual Report for 2025, </w:t>
      </w:r>
      <w:hyperlink r:id="rId115" w:history="1">
        <w:r w:rsidRPr="0091473F">
          <w:rPr>
            <w:rStyle w:val="Hyperlink"/>
          </w:rPr>
          <w:t>https://www.nyc.gov/assets/cchr/downloads/pdf/publications/AnnualReport2025.pdf</w:t>
        </w:r>
      </w:hyperlink>
      <w:r>
        <w:t>.</w:t>
      </w:r>
    </w:p>
  </w:footnote>
  <w:footnote w:id="112">
    <w:p w14:paraId="43EFCFBB" w14:textId="77777777" w:rsidR="00040EA7" w:rsidRDefault="00040EA7" w:rsidP="00040EA7">
      <w:pPr>
        <w:pStyle w:val="FootnoteText"/>
      </w:pPr>
      <w:r>
        <w:rPr>
          <w:rStyle w:val="FootnoteReference"/>
        </w:rPr>
        <w:footnoteRef/>
      </w:r>
      <w:r>
        <w:t xml:space="preserve"> Testimony of Britny McKenzie, Policy Director to the Committee on Civil and Human Rights (March 13, 2026), </w:t>
      </w:r>
      <w:r w:rsidRPr="00803F69">
        <w:rPr>
          <w:i/>
          <w:iCs/>
        </w:rPr>
        <w:t>available at</w:t>
      </w:r>
      <w:r>
        <w:t xml:space="preserve"> </w:t>
      </w:r>
      <w:hyperlink r:id="rId116" w:history="1">
        <w:r w:rsidRPr="0091473F">
          <w:rPr>
            <w:rStyle w:val="Hyperlink"/>
          </w:rPr>
          <w:t>https://legistar.council.nyc.gov/LegislationDetail.aspx?ID=7929723&amp;GUID=AE7506FD-531C-468B-A7CC-EC5446E34DD0&amp;Options=&amp;Search=</w:t>
        </w:r>
      </w:hyperlink>
      <w:r>
        <w:t xml:space="preserve">. </w:t>
      </w:r>
    </w:p>
  </w:footnote>
  <w:footnote w:id="113">
    <w:p w14:paraId="620122A8" w14:textId="77777777" w:rsidR="00040EA7" w:rsidRPr="00011C3A" w:rsidRDefault="00040EA7" w:rsidP="00040EA7">
      <w:pPr>
        <w:pStyle w:val="FootnoteText"/>
      </w:pPr>
      <w:r>
        <w:rPr>
          <w:rStyle w:val="FootnoteReference"/>
        </w:rPr>
        <w:footnoteRef/>
      </w:r>
      <w:r>
        <w:t xml:space="preserve"> </w:t>
      </w:r>
      <w:r>
        <w:rPr>
          <w:i/>
          <w:iCs/>
        </w:rPr>
        <w:t>See</w:t>
      </w:r>
      <w:r>
        <w:t xml:space="preserve"> Fiscal Impact Statement for Int. 632-2022 (L.L. 24 of 2024), </w:t>
      </w:r>
      <w:r w:rsidRPr="00011C3A">
        <w:rPr>
          <w:i/>
          <w:iCs/>
        </w:rPr>
        <w:t>available at</w:t>
      </w:r>
      <w:r>
        <w:t xml:space="preserve"> </w:t>
      </w:r>
      <w:hyperlink r:id="rId117" w:history="1">
        <w:r w:rsidRPr="0091473F">
          <w:rPr>
            <w:rStyle w:val="Hyperlink"/>
          </w:rPr>
          <w:t>https://legistar.council.nyc.gov/LegislationDetail.aspx?ID=5755059&amp;GUID=1081D9A0-5626-4DE4-BB6A-142AB373A4AF&amp;Options=&amp;Search=</w:t>
        </w:r>
      </w:hyperlink>
      <w:r>
        <w:t xml:space="preserve">. </w:t>
      </w:r>
    </w:p>
  </w:footnote>
  <w:footnote w:id="114">
    <w:p w14:paraId="609B6C2F" w14:textId="76BE1F2A" w:rsidR="00040EA7" w:rsidRPr="00E03A4A" w:rsidRDefault="00040EA7" w:rsidP="00040EA7">
      <w:pPr>
        <w:pStyle w:val="FootnoteText"/>
        <w:rPr>
          <w:i/>
          <w:iCs/>
        </w:rPr>
      </w:pPr>
      <w:r>
        <w:rPr>
          <w:rStyle w:val="FootnoteReference"/>
        </w:rPr>
        <w:footnoteRef/>
      </w:r>
      <w:r>
        <w:t xml:space="preserve"> NYC Fair Chance for Housing, </w:t>
      </w:r>
      <w:r w:rsidRPr="00E03A4A">
        <w:t>NYC Fair Chance for Housing Act: Frequently Asked Questions</w:t>
      </w:r>
      <w:r>
        <w:t xml:space="preserve"> (last updated 2020), </w:t>
      </w:r>
      <w:hyperlink r:id="rId118" w:history="1">
        <w:r w:rsidRPr="0091473F">
          <w:rPr>
            <w:rStyle w:val="Hyperlink"/>
          </w:rPr>
          <w:t>https://static1.squarespace.com/static/585adef937c5817d231b7de1/t/646d332f762c0b04be46b523/1684878147357/Fair+Chance+for+Housing+Act+Info+Sheet.pdf</w:t>
        </w:r>
      </w:hyperlink>
      <w:r>
        <w:t xml:space="preserve">.  </w:t>
      </w:r>
    </w:p>
  </w:footnote>
  <w:footnote w:id="115">
    <w:p w14:paraId="45922928" w14:textId="77777777" w:rsidR="00040EA7" w:rsidRDefault="00040EA7" w:rsidP="00040EA7">
      <w:pPr>
        <w:pStyle w:val="FootnoteText"/>
      </w:pPr>
      <w:r>
        <w:rPr>
          <w:rStyle w:val="FootnoteReference"/>
        </w:rPr>
        <w:footnoteRef/>
      </w:r>
      <w:r>
        <w:t xml:space="preserve"> NYC Comptroller Agency Staffing Dashboard, </w:t>
      </w:r>
      <w:hyperlink r:id="rId119" w:history="1">
        <w:r w:rsidRPr="0091473F">
          <w:rPr>
            <w:rStyle w:val="Hyperlink"/>
          </w:rPr>
          <w:t>https://comptroller.nyc.gov/services/for-the-public/nyc-agency-staffing-dashboard/authorized-vs-actual-staffing-with-vacancy-rates/</w:t>
        </w:r>
      </w:hyperlink>
      <w:r>
        <w:t xml:space="preserve"> (visited April 22, 2026).</w:t>
      </w:r>
    </w:p>
  </w:footnote>
  <w:footnote w:id="116">
    <w:p w14:paraId="1341B475" w14:textId="1CBBEB01" w:rsidR="00040EA7" w:rsidRPr="00A51AD4" w:rsidRDefault="00040EA7" w:rsidP="00040EA7">
      <w:pPr>
        <w:pStyle w:val="FootnoteText"/>
        <w:rPr>
          <w:b/>
          <w:bCs/>
        </w:rPr>
      </w:pPr>
      <w:r>
        <w:rPr>
          <w:rStyle w:val="FootnoteReference"/>
        </w:rPr>
        <w:footnoteRef/>
      </w:r>
      <w:r>
        <w:t xml:space="preserve"> NYC Office of Management and Budget, </w:t>
      </w:r>
      <w:r w:rsidRPr="00A51AD4">
        <w:rPr>
          <w:i/>
          <w:iCs/>
        </w:rPr>
        <w:t>Preliminary Budget</w:t>
      </w:r>
      <w:r w:rsidRPr="00A51AD4">
        <w:rPr>
          <w:i/>
          <w:iCs/>
        </w:rPr>
        <w:br/>
        <w:t>Fiscal Years 2026–2030</w:t>
      </w:r>
      <w:r>
        <w:rPr>
          <w:b/>
          <w:bCs/>
        </w:rPr>
        <w:t xml:space="preserve">, </w:t>
      </w:r>
      <w:hyperlink r:id="rId120" w:history="1">
        <w:r w:rsidRPr="0091473F">
          <w:rPr>
            <w:rStyle w:val="Hyperlink"/>
          </w:rPr>
          <w:t>https://www.nyc.gov/content/omb/pages/publications/fy2026-2030-preliminary-budget</w:t>
        </w:r>
      </w:hyperlink>
      <w:r>
        <w:t xml:space="preserve"> (visited April 22, 2026). </w:t>
      </w:r>
    </w:p>
  </w:footnote>
  <w:footnote w:id="117">
    <w:p w14:paraId="638A38FA" w14:textId="29802E87" w:rsidR="002E2A50" w:rsidRDefault="002E2A50" w:rsidP="002E2A50">
      <w:pPr>
        <w:pStyle w:val="FootnoteText"/>
      </w:pPr>
      <w:r>
        <w:rPr>
          <w:rStyle w:val="FootnoteReference"/>
        </w:rPr>
        <w:footnoteRef/>
      </w:r>
      <w:r>
        <w:t xml:space="preserve"> NYS Comptroller</w:t>
      </w:r>
      <w:r w:rsidR="00A40FA8">
        <w:t xml:space="preserve"> </w:t>
      </w:r>
      <w:r>
        <w:t xml:space="preserve">Thomas DiNapoli, </w:t>
      </w:r>
      <w:r w:rsidRPr="002E2A50">
        <w:rPr>
          <w:i/>
          <w:iCs/>
        </w:rPr>
        <w:t xml:space="preserve">DiNapoli: Housing Discrimination Complaints Languish at NYC Commission on Human Rights </w:t>
      </w:r>
      <w:r>
        <w:t xml:space="preserve">(Dec. 4, 2025) (recommending improved oversight), </w:t>
      </w:r>
      <w:hyperlink r:id="rId121" w:history="1">
        <w:r w:rsidRPr="0091473F">
          <w:rPr>
            <w:rStyle w:val="Hyperlink"/>
          </w:rPr>
          <w:t>https://www.osc.ny.gov/press/releases/2025/12/dinapoli-housing-discrimination-complaints-languish-nyc-commission-human-rights</w:t>
        </w:r>
      </w:hyperlink>
      <w:r>
        <w:t xml:space="preserve">. </w:t>
      </w:r>
    </w:p>
  </w:footnote>
  <w:footnote w:id="118">
    <w:p w14:paraId="6E459C1D" w14:textId="5E45D520" w:rsidR="002E2A50" w:rsidRDefault="002E2A50">
      <w:pPr>
        <w:pStyle w:val="FootnoteText"/>
      </w:pPr>
      <w:r>
        <w:rPr>
          <w:rStyle w:val="FootnoteReference"/>
        </w:rPr>
        <w:footnoteRef/>
      </w:r>
      <w:r>
        <w:t xml:space="preserve"> </w:t>
      </w:r>
      <w:r w:rsidRPr="002E2A50">
        <w:t>For a sample of 29 inquiries, more than two years (883 days)</w:t>
      </w:r>
      <w:r>
        <w:t xml:space="preserve"> passed, on average,</w:t>
      </w:r>
      <w:r w:rsidRPr="002E2A50">
        <w:t xml:space="preserve"> </w:t>
      </w:r>
      <w:r>
        <w:t xml:space="preserve">for a determination to be reached </w:t>
      </w:r>
      <w:r w:rsidRPr="002E2A50">
        <w:t xml:space="preserve">after </w:t>
      </w:r>
      <w:r>
        <w:t xml:space="preserve">filing a </w:t>
      </w:r>
      <w:r w:rsidRPr="002E2A50">
        <w:t>complaint</w:t>
      </w:r>
      <w:r>
        <w:t>;</w:t>
      </w:r>
      <w:r w:rsidRPr="002E2A50">
        <w:t xml:space="preserve"> five cases closed for "Administrative Convenience" averaged over three years (1,231 days) from filing. For 18 inquiries with documented submission dates, decisions took an average of more than three years (1,175 days)</w:t>
      </w:r>
      <w:r>
        <w:t xml:space="preserve">, </w:t>
      </w:r>
      <w:r w:rsidRPr="002E2A50">
        <w:t>including one that took over seven years (2,574 days)</w:t>
      </w:r>
      <w:r>
        <w:t xml:space="preserve">. </w:t>
      </w:r>
      <w:r>
        <w:rPr>
          <w:i/>
          <w:iCs/>
        </w:rPr>
        <w:t xml:space="preserve">Id. </w:t>
      </w:r>
      <w:r>
        <w:t>at pp. 9–</w:t>
      </w:r>
      <w:r w:rsidRPr="002E2A50">
        <w:t>10</w:t>
      </w:r>
      <w:r>
        <w:t>.</w:t>
      </w:r>
    </w:p>
  </w:footnote>
  <w:footnote w:id="119">
    <w:p w14:paraId="668F74D3" w14:textId="6A5AB75D" w:rsidR="002E2A50" w:rsidRDefault="002E2A50">
      <w:pPr>
        <w:pStyle w:val="FootnoteText"/>
      </w:pPr>
      <w:r>
        <w:rPr>
          <w:rStyle w:val="FootnoteReference"/>
        </w:rPr>
        <w:footnoteRef/>
      </w:r>
      <w:r>
        <w:t xml:space="preserve"> In accordance with </w:t>
      </w:r>
      <w:r w:rsidRPr="002E2A50">
        <w:t>NYC Executive Order 115</w:t>
      </w:r>
      <w:r>
        <w:t xml:space="preserve"> of 2008, </w:t>
      </w:r>
      <w:hyperlink r:id="rId122" w:history="1">
        <w:r w:rsidRPr="0091473F">
          <w:rPr>
            <w:rStyle w:val="Hyperlink"/>
          </w:rPr>
          <w:t>https://www.nyc.gov/assets/records/pdf/executive_orders/2008EO115.pdf</w:t>
        </w:r>
      </w:hyperlink>
      <w:r>
        <w:t xml:space="preserve">. </w:t>
      </w:r>
    </w:p>
  </w:footnote>
  <w:footnote w:id="120">
    <w:p w14:paraId="29B11A41" w14:textId="2B363947" w:rsidR="002E2A50" w:rsidRDefault="002E2A50" w:rsidP="002E2A50">
      <w:pPr>
        <w:pStyle w:val="FootnoteText"/>
      </w:pPr>
      <w:r>
        <w:rPr>
          <w:rStyle w:val="FootnoteReference"/>
        </w:rPr>
        <w:footnoteRef/>
      </w:r>
      <w:r>
        <w:t xml:space="preserve"> NYS Comptroller</w:t>
      </w:r>
      <w:r w:rsidR="00A40FA8">
        <w:t xml:space="preserve"> </w:t>
      </w:r>
      <w:r>
        <w:t xml:space="preserve">Thomas DiNapoli, </w:t>
      </w:r>
      <w:r w:rsidRPr="002E2A50">
        <w:rPr>
          <w:i/>
          <w:iCs/>
        </w:rPr>
        <w:t xml:space="preserve">DiNapoli: Housing Discrimination Complaints Languish at NYC Commission on Human Rights </w:t>
      </w:r>
      <w:r>
        <w:t xml:space="preserve">(Dec. 4, 2025), </w:t>
      </w:r>
      <w:hyperlink r:id="rId123" w:history="1">
        <w:r w:rsidRPr="0091473F">
          <w:rPr>
            <w:rStyle w:val="Hyperlink"/>
          </w:rPr>
          <w:t>https://www.osc.ny.gov/press/releases/2025/12/dinapoli-housing-discrimination-complaints-languish-nyc-commission-human-rights</w:t>
        </w:r>
      </w:hyperlink>
      <w:r>
        <w:t>.</w:t>
      </w:r>
    </w:p>
  </w:footnote>
  <w:footnote w:id="121">
    <w:p w14:paraId="14DFECAF" w14:textId="456554C0" w:rsidR="002E2A50" w:rsidRPr="00D277C9" w:rsidRDefault="002E2A50">
      <w:pPr>
        <w:pStyle w:val="FootnoteText"/>
      </w:pPr>
      <w:r>
        <w:rPr>
          <w:rStyle w:val="FootnoteReference"/>
        </w:rPr>
        <w:footnoteRef/>
      </w:r>
      <w:r>
        <w:t xml:space="preserve"> </w:t>
      </w:r>
      <w:r w:rsidR="00D277C9">
        <w:rPr>
          <w:i/>
          <w:iCs/>
        </w:rPr>
        <w:t>Id.</w:t>
      </w:r>
      <w:r w:rsidR="00D277C9">
        <w:t xml:space="preserve"> at 11.</w:t>
      </w:r>
    </w:p>
  </w:footnote>
  <w:footnote w:id="122">
    <w:p w14:paraId="0B8CD9E8" w14:textId="4B23022F" w:rsidR="00D277C9" w:rsidRDefault="00D277C9">
      <w:pPr>
        <w:pStyle w:val="FootnoteText"/>
      </w:pPr>
      <w:r>
        <w:rPr>
          <w:rStyle w:val="FootnoteReference"/>
        </w:rPr>
        <w:footnoteRef/>
      </w:r>
      <w:r>
        <w:t xml:space="preserve"> </w:t>
      </w:r>
      <w:r w:rsidRPr="00D277C9">
        <w:rPr>
          <w:i/>
          <w:iCs/>
        </w:rPr>
        <w:t>Id.</w:t>
      </w:r>
      <w:r>
        <w:t xml:space="preserve"> at </w:t>
      </w:r>
      <w:r w:rsidR="008A3656">
        <w:t xml:space="preserve">2, </w:t>
      </w:r>
      <w:r>
        <w:t>12.</w:t>
      </w:r>
    </w:p>
  </w:footnote>
  <w:footnote w:id="123">
    <w:p w14:paraId="64B40244" w14:textId="5B04FF1A" w:rsidR="00D277C9" w:rsidRPr="00D277C9" w:rsidRDefault="00D277C9">
      <w:pPr>
        <w:pStyle w:val="FootnoteText"/>
      </w:pPr>
      <w:r>
        <w:rPr>
          <w:rStyle w:val="FootnoteReference"/>
        </w:rPr>
        <w:footnoteRef/>
      </w:r>
      <w:r>
        <w:t xml:space="preserve"> </w:t>
      </w:r>
      <w:r>
        <w:rPr>
          <w:i/>
          <w:iCs/>
        </w:rPr>
        <w:t>Id.</w:t>
      </w:r>
      <w:r>
        <w:t xml:space="preserve"> at </w:t>
      </w:r>
      <w:r w:rsidRPr="00D277C9">
        <w:t>1–2, 13</w:t>
      </w:r>
      <w:r>
        <w:t>.</w:t>
      </w:r>
    </w:p>
  </w:footnote>
  <w:footnote w:id="124">
    <w:p w14:paraId="305396DC" w14:textId="548F678A" w:rsidR="00D277C9" w:rsidRPr="00D277C9" w:rsidRDefault="00D277C9">
      <w:pPr>
        <w:pStyle w:val="FootnoteText"/>
      </w:pPr>
      <w:r>
        <w:rPr>
          <w:rStyle w:val="FootnoteReference"/>
        </w:rPr>
        <w:footnoteRef/>
      </w:r>
      <w:r>
        <w:t xml:space="preserve"> </w:t>
      </w:r>
      <w:r>
        <w:rPr>
          <w:i/>
          <w:iCs/>
        </w:rPr>
        <w:t>Id.</w:t>
      </w:r>
      <w:r>
        <w:t xml:space="preserve"> at 15.</w:t>
      </w:r>
    </w:p>
  </w:footnote>
  <w:footnote w:id="125">
    <w:p w14:paraId="7F23F991" w14:textId="4FBA719E" w:rsidR="00034A28" w:rsidRDefault="00034A28">
      <w:pPr>
        <w:pStyle w:val="FootnoteText"/>
      </w:pPr>
      <w:r>
        <w:rPr>
          <w:rStyle w:val="FootnoteReference"/>
        </w:rPr>
        <w:footnoteRef/>
      </w:r>
      <w:r>
        <w:t xml:space="preserve"> </w:t>
      </w:r>
      <w:r>
        <w:rPr>
          <w:i/>
          <w:iCs/>
        </w:rPr>
        <w:t>Id.</w:t>
      </w:r>
      <w:r>
        <w:t xml:space="preserve"> at</w:t>
      </w:r>
      <w:r w:rsidRPr="00034A28">
        <w:t xml:space="preserve"> 2, 16</w:t>
      </w:r>
      <w:r>
        <w:t>.</w:t>
      </w:r>
    </w:p>
  </w:footnote>
  <w:footnote w:id="126">
    <w:p w14:paraId="0CF2B4D4" w14:textId="6464D626" w:rsidR="00034A28" w:rsidRDefault="00034A28">
      <w:pPr>
        <w:pStyle w:val="FootnoteText"/>
      </w:pPr>
      <w:r>
        <w:rPr>
          <w:rStyle w:val="FootnoteReference"/>
        </w:rPr>
        <w:footnoteRef/>
      </w:r>
      <w:r>
        <w:t xml:space="preserve"> </w:t>
      </w:r>
      <w:r w:rsidRPr="00034A28">
        <w:t>Of 36 sampled inquiries assigned to an attorney, 26 of the 28 that were closed or transferred were missing the required file maintenance checklist</w:t>
      </w:r>
      <w:r>
        <w:t xml:space="preserve">. </w:t>
      </w:r>
      <w:r w:rsidRPr="00034A28">
        <w:t>Id. at 2, 1</w:t>
      </w:r>
      <w:r>
        <w:t>8</w:t>
      </w:r>
      <w:r w:rsidRPr="00034A28">
        <w:t>.</w:t>
      </w:r>
    </w:p>
  </w:footnote>
  <w:footnote w:id="127">
    <w:p w14:paraId="4E55EF7B" w14:textId="29C589DC" w:rsidR="004C07E7" w:rsidRPr="004C07E7" w:rsidRDefault="004C07E7">
      <w:pPr>
        <w:pStyle w:val="FootnoteText"/>
      </w:pPr>
      <w:r>
        <w:rPr>
          <w:rStyle w:val="FootnoteReference"/>
        </w:rPr>
        <w:footnoteRef/>
      </w:r>
      <w:r>
        <w:t xml:space="preserve"> After receiving an initial inquiry from a member of the public about potential unlawful discrimination, CCHR schedules an intake appointment with an attorney, following which the attorney must make a determination as to whether the facts support filing a claim. </w:t>
      </w:r>
      <w:r>
        <w:rPr>
          <w:i/>
          <w:iCs/>
        </w:rPr>
        <w:t>Id.</w:t>
      </w:r>
      <w:r>
        <w:t xml:space="preserve"> at 7.</w:t>
      </w:r>
    </w:p>
  </w:footnote>
  <w:footnote w:id="128">
    <w:p w14:paraId="0306F7FF" w14:textId="649581B5" w:rsidR="00DF528B" w:rsidRDefault="00DF528B">
      <w:pPr>
        <w:pStyle w:val="FootnoteText"/>
      </w:pPr>
      <w:r>
        <w:rPr>
          <w:rStyle w:val="FootnoteReference"/>
        </w:rPr>
        <w:footnoteRef/>
      </w:r>
      <w:r>
        <w:t xml:space="preserve"> </w:t>
      </w:r>
      <w:r w:rsidRPr="00DF528B">
        <w:rPr>
          <w:i/>
          <w:iCs/>
        </w:rPr>
        <w:t>Id.</w:t>
      </w:r>
      <w:r>
        <w:t xml:space="preserve"> at 9–10. </w:t>
      </w:r>
    </w:p>
  </w:footnote>
  <w:footnote w:id="129">
    <w:p w14:paraId="2C6485DF" w14:textId="08F2ACC5" w:rsidR="008A3656" w:rsidRPr="008A3656" w:rsidRDefault="008A3656">
      <w:pPr>
        <w:pStyle w:val="FootnoteText"/>
        <w:rPr>
          <w:i/>
          <w:iCs/>
        </w:rPr>
      </w:pPr>
      <w:r>
        <w:rPr>
          <w:rStyle w:val="FootnoteReference"/>
        </w:rPr>
        <w:footnoteRef/>
      </w:r>
      <w:r>
        <w:t xml:space="preserve"> </w:t>
      </w:r>
      <w:r>
        <w:rPr>
          <w:i/>
          <w:iCs/>
        </w:rPr>
        <w:t>Id.</w:t>
      </w:r>
    </w:p>
  </w:footnote>
  <w:footnote w:id="130">
    <w:p w14:paraId="71213C78" w14:textId="65783D51" w:rsidR="00034A28" w:rsidRPr="00034A28" w:rsidRDefault="00034A28">
      <w:pPr>
        <w:pStyle w:val="FootnoteText"/>
      </w:pPr>
      <w:r>
        <w:rPr>
          <w:rStyle w:val="FootnoteReference"/>
        </w:rPr>
        <w:footnoteRef/>
      </w:r>
      <w:r>
        <w:t xml:space="preserve"> </w:t>
      </w:r>
      <w:r>
        <w:rPr>
          <w:i/>
          <w:iCs/>
        </w:rPr>
        <w:t xml:space="preserve">Id. </w:t>
      </w:r>
      <w:r>
        <w:t>at 8.</w:t>
      </w:r>
    </w:p>
  </w:footnote>
  <w:footnote w:id="131">
    <w:p w14:paraId="75D67B6D" w14:textId="737D0EA1" w:rsidR="00C150CA" w:rsidRDefault="00C150CA" w:rsidP="00C150CA">
      <w:pPr>
        <w:pStyle w:val="FootnoteText"/>
      </w:pPr>
      <w:r>
        <w:rPr>
          <w:rStyle w:val="FootnoteReference"/>
        </w:rPr>
        <w:footnoteRef/>
      </w:r>
      <w:r>
        <w:t xml:space="preserve"> The estimate of 2 years for a simple housing case assumed full staffing levels up to CCHR’s budgeted headcount. CCHR has never been staffed up to its full budgeted headcount and in recent years has suffered one of the highest vacancy rates due to attrition and hiring freezes. </w:t>
      </w:r>
      <w:r>
        <w:rPr>
          <w:i/>
          <w:iCs/>
        </w:rPr>
        <w:t xml:space="preserve">See </w:t>
      </w:r>
      <w:r w:rsidR="00DF528B" w:rsidRPr="00DF528B">
        <w:rPr>
          <w:i/>
          <w:iCs/>
        </w:rPr>
        <w:t>id.</w:t>
      </w:r>
      <w:r w:rsidR="00DF528B">
        <w:t xml:space="preserve"> at 10; </w:t>
      </w:r>
      <w:r>
        <w:t xml:space="preserve">NYC Comptroller Agency Staffing Dashboard, </w:t>
      </w:r>
      <w:hyperlink r:id="rId124" w:history="1">
        <w:r w:rsidRPr="0091473F">
          <w:rPr>
            <w:rStyle w:val="Hyperlink"/>
          </w:rPr>
          <w:t>https://comptroller.nyc.gov/services/for-the-public/nyc-agency-staffing-dashboard/authorized-vs-actual-staffing-with-vacancy-rates/</w:t>
        </w:r>
      </w:hyperlink>
      <w:r>
        <w:t xml:space="preserve"> (visited April 22, 2026).</w:t>
      </w:r>
    </w:p>
    <w:p w14:paraId="0B1C04B9" w14:textId="4E51ACF8" w:rsidR="00C150CA" w:rsidRDefault="00C150CA" w:rsidP="00C150CA">
      <w:pPr>
        <w:pStyle w:val="FootnoteText"/>
      </w:pPr>
      <w:r>
        <w:rPr>
          <w:rStyle w:val="FootnoteReference"/>
        </w:rPr>
        <w:footnoteRef/>
      </w:r>
      <w:r w:rsidR="00DF528B">
        <w:t xml:space="preserve"> NYS Comptroller</w:t>
      </w:r>
      <w:r w:rsidR="00A40FA8">
        <w:t xml:space="preserve"> </w:t>
      </w:r>
      <w:r w:rsidR="00DF528B">
        <w:t xml:space="preserve">Thomas DiNapoli, </w:t>
      </w:r>
      <w:r w:rsidR="00DF528B" w:rsidRPr="002E2A50">
        <w:rPr>
          <w:i/>
          <w:iCs/>
        </w:rPr>
        <w:t xml:space="preserve">DiNapoli: Housing Discrimination Complaints Languish at NYC Commission on Human Rights </w:t>
      </w:r>
      <w:r w:rsidR="00DF528B">
        <w:t xml:space="preserve">at p. 10 (Dec. 4, 2025), </w:t>
      </w:r>
      <w:hyperlink r:id="rId125" w:history="1">
        <w:r w:rsidR="00DF528B" w:rsidRPr="0091473F">
          <w:rPr>
            <w:rStyle w:val="Hyperlink"/>
          </w:rPr>
          <w:t>https://www.osc.ny.gov/press/releases/2025/12/dinapoli-housing-discrimination-complaints-languish-nyc-commission-human-rights</w:t>
        </w:r>
      </w:hyperlink>
      <w:r w:rsidR="00DF528B">
        <w:t>.</w:t>
      </w:r>
    </w:p>
  </w:footnote>
  <w:footnote w:id="132">
    <w:p w14:paraId="20394E5C" w14:textId="5CF8D725" w:rsidR="00034A28" w:rsidRPr="00034A28" w:rsidRDefault="00034A28" w:rsidP="00034A28">
      <w:pPr>
        <w:pStyle w:val="FootnoteText"/>
        <w:tabs>
          <w:tab w:val="left" w:pos="4320"/>
        </w:tabs>
      </w:pPr>
      <w:r>
        <w:rPr>
          <w:rStyle w:val="FootnoteReference"/>
        </w:rPr>
        <w:footnoteRef/>
      </w:r>
      <w:r>
        <w:t xml:space="preserve"> </w:t>
      </w:r>
      <w:r>
        <w:rPr>
          <w:i/>
          <w:iCs/>
        </w:rPr>
        <w:t>Id.</w:t>
      </w:r>
      <w:r>
        <w:t xml:space="preserve"> at </w:t>
      </w:r>
      <w:r w:rsidRPr="00034A28">
        <w:t>2–3, 18</w:t>
      </w:r>
      <w:r>
        <w:t>.</w:t>
      </w:r>
    </w:p>
  </w:footnote>
  <w:footnote w:id="133">
    <w:p w14:paraId="07D1B98F" w14:textId="1AF5D8E9" w:rsidR="001D37E6" w:rsidRPr="001D37E6" w:rsidRDefault="001D37E6">
      <w:pPr>
        <w:pStyle w:val="FootnoteText"/>
      </w:pPr>
      <w:r>
        <w:rPr>
          <w:rStyle w:val="FootnoteReference"/>
        </w:rPr>
        <w:footnoteRef/>
      </w:r>
      <w:r>
        <w:t xml:space="preserve"> </w:t>
      </w:r>
      <w:r>
        <w:rPr>
          <w:i/>
          <w:iCs/>
        </w:rPr>
        <w:t xml:space="preserve">Id. </w:t>
      </w:r>
      <w:r>
        <w:t xml:space="preserve">at </w:t>
      </w:r>
      <w:r w:rsidRPr="001D37E6">
        <w:t>20, 23–25</w:t>
      </w:r>
      <w:r>
        <w:t>.</w:t>
      </w:r>
    </w:p>
  </w:footnote>
  <w:footnote w:id="134">
    <w:p w14:paraId="741F1103" w14:textId="10595977" w:rsidR="00C5376A" w:rsidRPr="00C5376A" w:rsidRDefault="00C5376A">
      <w:pPr>
        <w:pStyle w:val="FootnoteText"/>
        <w:rPr>
          <w:i/>
          <w:iCs/>
        </w:rPr>
      </w:pPr>
      <w:r>
        <w:rPr>
          <w:rStyle w:val="FootnoteReference"/>
        </w:rPr>
        <w:footnoteRef/>
      </w:r>
      <w:r>
        <w:t xml:space="preserve"> </w:t>
      </w:r>
      <w:r>
        <w:rPr>
          <w:i/>
          <w:iCs/>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98AD" w14:textId="0FE11355" w:rsidR="0099470A" w:rsidRDefault="00A97183">
    <w:pPr>
      <w:pStyle w:val="Header"/>
    </w:pPr>
    <w:r>
      <w:rPr>
        <w:noProof/>
      </w:rPr>
      <w:pict w14:anchorId="7ABBC0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B0575"/>
    <w:multiLevelType w:val="hybridMultilevel"/>
    <w:tmpl w:val="0106C5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CC7568"/>
    <w:multiLevelType w:val="hybridMultilevel"/>
    <w:tmpl w:val="CF06B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8587864"/>
    <w:multiLevelType w:val="hybridMultilevel"/>
    <w:tmpl w:val="DB2A64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8ED1D85"/>
    <w:multiLevelType w:val="hybridMultilevel"/>
    <w:tmpl w:val="67B4E5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A161938"/>
    <w:multiLevelType w:val="multilevel"/>
    <w:tmpl w:val="8FB6A688"/>
    <w:lvl w:ilvl="0">
      <w:start w:val="1"/>
      <w:numFmt w:val="upperRoman"/>
      <w:lvlText w:val="%1."/>
      <w:lvlJc w:val="left"/>
      <w:pPr>
        <w:ind w:left="360" w:hanging="360"/>
      </w:pPr>
      <w:rPr>
        <w:rFonts w:ascii="Times New Roman Bold" w:hAnsi="Times New Roman Bold" w:hint="default"/>
        <w:b/>
        <w:i w:val="0"/>
        <w:u w:val="none"/>
      </w:rPr>
    </w:lvl>
    <w:lvl w:ilvl="1">
      <w:start w:val="1"/>
      <w:numFmt w:val="lowerLetter"/>
      <w:lvlText w:val="%2."/>
      <w:lvlJc w:val="left"/>
      <w:pPr>
        <w:ind w:left="720" w:hanging="360"/>
      </w:pPr>
      <w:rPr>
        <w:rFonts w:ascii="Times New Roman Bold" w:hAnsi="Times New Roman Bold" w:hint="default"/>
        <w:b/>
        <w:i/>
      </w:rPr>
    </w:lvl>
    <w:lvl w:ilvl="2">
      <w:start w:val="1"/>
      <w:numFmt w:val="lowerRoman"/>
      <w:lvlText w:val="%3."/>
      <w:lvlJc w:val="left"/>
      <w:pPr>
        <w:ind w:left="1080" w:hanging="360"/>
      </w:pPr>
      <w:rPr>
        <w:rFonts w:hint="default"/>
        <w:b w:val="0"/>
        <w:i/>
      </w:rPr>
    </w:lvl>
    <w:lvl w:ilvl="3">
      <w:start w:val="1"/>
      <w:numFmt w:val="upperLetter"/>
      <w:lvlText w:val="%4."/>
      <w:lvlJc w:val="left"/>
      <w:pPr>
        <w:ind w:left="1440" w:hanging="360"/>
      </w:pPr>
      <w:rPr>
        <w:rFonts w:hint="default"/>
        <w:u w:val="no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2C76E52"/>
    <w:multiLevelType w:val="hybridMultilevel"/>
    <w:tmpl w:val="E10050BE"/>
    <w:lvl w:ilvl="0" w:tplc="EEE6A0F2">
      <w:start w:val="1"/>
      <w:numFmt w:val="lowerRoman"/>
      <w:lvlText w:val="%1."/>
      <w:lvlJc w:val="left"/>
      <w:pPr>
        <w:ind w:left="1080" w:hanging="360"/>
      </w:pPr>
    </w:lvl>
    <w:lvl w:ilvl="1" w:tplc="00480BD8">
      <w:start w:val="1"/>
      <w:numFmt w:val="lowerLetter"/>
      <w:lvlText w:val="%2."/>
      <w:lvlJc w:val="left"/>
      <w:pPr>
        <w:ind w:left="1800" w:hanging="360"/>
      </w:pPr>
    </w:lvl>
    <w:lvl w:ilvl="2" w:tplc="BF908194">
      <w:start w:val="1"/>
      <w:numFmt w:val="lowerRoman"/>
      <w:lvlText w:val="%3."/>
      <w:lvlJc w:val="right"/>
      <w:pPr>
        <w:ind w:left="2520" w:hanging="180"/>
      </w:pPr>
    </w:lvl>
    <w:lvl w:ilvl="3" w:tplc="89701D74">
      <w:start w:val="1"/>
      <w:numFmt w:val="decimal"/>
      <w:lvlText w:val="%4."/>
      <w:lvlJc w:val="left"/>
      <w:pPr>
        <w:ind w:left="3240" w:hanging="360"/>
      </w:pPr>
    </w:lvl>
    <w:lvl w:ilvl="4" w:tplc="6A2467F4">
      <w:start w:val="1"/>
      <w:numFmt w:val="lowerLetter"/>
      <w:lvlText w:val="%5."/>
      <w:lvlJc w:val="left"/>
      <w:pPr>
        <w:ind w:left="3960" w:hanging="360"/>
      </w:pPr>
    </w:lvl>
    <w:lvl w:ilvl="5" w:tplc="5B6E1B1E">
      <w:start w:val="1"/>
      <w:numFmt w:val="lowerRoman"/>
      <w:lvlText w:val="%6."/>
      <w:lvlJc w:val="right"/>
      <w:pPr>
        <w:ind w:left="4680" w:hanging="180"/>
      </w:pPr>
    </w:lvl>
    <w:lvl w:ilvl="6" w:tplc="9B16347A">
      <w:start w:val="1"/>
      <w:numFmt w:val="decimal"/>
      <w:lvlText w:val="%7."/>
      <w:lvlJc w:val="left"/>
      <w:pPr>
        <w:ind w:left="5400" w:hanging="360"/>
      </w:pPr>
    </w:lvl>
    <w:lvl w:ilvl="7" w:tplc="83DE5C78">
      <w:start w:val="1"/>
      <w:numFmt w:val="lowerLetter"/>
      <w:lvlText w:val="%8."/>
      <w:lvlJc w:val="left"/>
      <w:pPr>
        <w:ind w:left="6120" w:hanging="360"/>
      </w:pPr>
    </w:lvl>
    <w:lvl w:ilvl="8" w:tplc="EFDA2EB0">
      <w:start w:val="1"/>
      <w:numFmt w:val="lowerRoman"/>
      <w:lvlText w:val="%9."/>
      <w:lvlJc w:val="right"/>
      <w:pPr>
        <w:ind w:left="6840" w:hanging="180"/>
      </w:pPr>
    </w:lvl>
  </w:abstractNum>
  <w:abstractNum w:abstractNumId="6" w15:restartNumberingAfterBreak="0">
    <w:nsid w:val="744D7DE6"/>
    <w:multiLevelType w:val="hybridMultilevel"/>
    <w:tmpl w:val="8C16C8E0"/>
    <w:lvl w:ilvl="0" w:tplc="9E14F2AA">
      <w:start w:val="1"/>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6608327">
    <w:abstractNumId w:val="5"/>
  </w:num>
  <w:num w:numId="2" w16cid:durableId="832989821">
    <w:abstractNumId w:val="6"/>
  </w:num>
  <w:num w:numId="3" w16cid:durableId="419720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165461">
    <w:abstractNumId w:val="1"/>
  </w:num>
  <w:num w:numId="5" w16cid:durableId="382560969">
    <w:abstractNumId w:val="2"/>
  </w:num>
  <w:num w:numId="6" w16cid:durableId="2091155170">
    <w:abstractNumId w:val="3"/>
  </w:num>
  <w:num w:numId="7" w16cid:durableId="839855764">
    <w:abstractNumId w:val="4"/>
  </w:num>
  <w:num w:numId="8" w16cid:durableId="147818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335"/>
    <w:rsid w:val="0000031C"/>
    <w:rsid w:val="00000C61"/>
    <w:rsid w:val="00000EAF"/>
    <w:rsid w:val="00005BB1"/>
    <w:rsid w:val="00006FCA"/>
    <w:rsid w:val="000075D1"/>
    <w:rsid w:val="00007D94"/>
    <w:rsid w:val="00007D95"/>
    <w:rsid w:val="00007FD0"/>
    <w:rsid w:val="0001073B"/>
    <w:rsid w:val="00011A92"/>
    <w:rsid w:val="000126E1"/>
    <w:rsid w:val="00013CFD"/>
    <w:rsid w:val="00013ED5"/>
    <w:rsid w:val="0001464E"/>
    <w:rsid w:val="0001491F"/>
    <w:rsid w:val="00016362"/>
    <w:rsid w:val="00017E40"/>
    <w:rsid w:val="000223CD"/>
    <w:rsid w:val="000223F0"/>
    <w:rsid w:val="000231E0"/>
    <w:rsid w:val="00025452"/>
    <w:rsid w:val="00025800"/>
    <w:rsid w:val="000259DE"/>
    <w:rsid w:val="00027927"/>
    <w:rsid w:val="000322E8"/>
    <w:rsid w:val="00032D67"/>
    <w:rsid w:val="0003369C"/>
    <w:rsid w:val="00034A28"/>
    <w:rsid w:val="00036BA5"/>
    <w:rsid w:val="00040CCD"/>
    <w:rsid w:val="00040EA7"/>
    <w:rsid w:val="00041DCC"/>
    <w:rsid w:val="00042CC6"/>
    <w:rsid w:val="000441FB"/>
    <w:rsid w:val="00044BB2"/>
    <w:rsid w:val="00046AEA"/>
    <w:rsid w:val="00047422"/>
    <w:rsid w:val="000477D2"/>
    <w:rsid w:val="00047B88"/>
    <w:rsid w:val="00047E66"/>
    <w:rsid w:val="00047E83"/>
    <w:rsid w:val="0005264B"/>
    <w:rsid w:val="00052678"/>
    <w:rsid w:val="00052EAC"/>
    <w:rsid w:val="00053715"/>
    <w:rsid w:val="000539E0"/>
    <w:rsid w:val="000539F8"/>
    <w:rsid w:val="00054585"/>
    <w:rsid w:val="0005464B"/>
    <w:rsid w:val="000547D5"/>
    <w:rsid w:val="00056DA2"/>
    <w:rsid w:val="0006015B"/>
    <w:rsid w:val="00060A59"/>
    <w:rsid w:val="00060C74"/>
    <w:rsid w:val="00061AE2"/>
    <w:rsid w:val="0006366C"/>
    <w:rsid w:val="000652F4"/>
    <w:rsid w:val="00065446"/>
    <w:rsid w:val="00066DE5"/>
    <w:rsid w:val="00067552"/>
    <w:rsid w:val="00067B5E"/>
    <w:rsid w:val="000705A9"/>
    <w:rsid w:val="00074452"/>
    <w:rsid w:val="00074720"/>
    <w:rsid w:val="00074AB3"/>
    <w:rsid w:val="0007664E"/>
    <w:rsid w:val="00080E20"/>
    <w:rsid w:val="000815BF"/>
    <w:rsid w:val="000825D2"/>
    <w:rsid w:val="00082F58"/>
    <w:rsid w:val="00084D03"/>
    <w:rsid w:val="00085594"/>
    <w:rsid w:val="0008732A"/>
    <w:rsid w:val="00087474"/>
    <w:rsid w:val="00087650"/>
    <w:rsid w:val="0009143C"/>
    <w:rsid w:val="00092D77"/>
    <w:rsid w:val="0009504B"/>
    <w:rsid w:val="00095222"/>
    <w:rsid w:val="00096B5D"/>
    <w:rsid w:val="000A158E"/>
    <w:rsid w:val="000A22FC"/>
    <w:rsid w:val="000A2A04"/>
    <w:rsid w:val="000A407A"/>
    <w:rsid w:val="000A4C75"/>
    <w:rsid w:val="000A5819"/>
    <w:rsid w:val="000A581A"/>
    <w:rsid w:val="000A76E2"/>
    <w:rsid w:val="000B10B0"/>
    <w:rsid w:val="000C1A8F"/>
    <w:rsid w:val="000C200E"/>
    <w:rsid w:val="000C34EF"/>
    <w:rsid w:val="000C3AB5"/>
    <w:rsid w:val="000C56FA"/>
    <w:rsid w:val="000C6AF7"/>
    <w:rsid w:val="000C75BC"/>
    <w:rsid w:val="000D19A4"/>
    <w:rsid w:val="000D4A75"/>
    <w:rsid w:val="000D5AF1"/>
    <w:rsid w:val="000E1A7F"/>
    <w:rsid w:val="000E2A64"/>
    <w:rsid w:val="000E2BED"/>
    <w:rsid w:val="000E321B"/>
    <w:rsid w:val="000E3522"/>
    <w:rsid w:val="000E3611"/>
    <w:rsid w:val="000E373C"/>
    <w:rsid w:val="000E44FB"/>
    <w:rsid w:val="000E5EFB"/>
    <w:rsid w:val="000E7B05"/>
    <w:rsid w:val="000F01E6"/>
    <w:rsid w:val="000F1963"/>
    <w:rsid w:val="000F1C02"/>
    <w:rsid w:val="000F2AE1"/>
    <w:rsid w:val="000F31DB"/>
    <w:rsid w:val="000F4E24"/>
    <w:rsid w:val="000F5EFE"/>
    <w:rsid w:val="000F66A0"/>
    <w:rsid w:val="000F689B"/>
    <w:rsid w:val="0010145C"/>
    <w:rsid w:val="001014FF"/>
    <w:rsid w:val="0010222E"/>
    <w:rsid w:val="0010374A"/>
    <w:rsid w:val="00104C5F"/>
    <w:rsid w:val="001052D6"/>
    <w:rsid w:val="00105348"/>
    <w:rsid w:val="00106D6D"/>
    <w:rsid w:val="00106E9E"/>
    <w:rsid w:val="00107033"/>
    <w:rsid w:val="00111126"/>
    <w:rsid w:val="00111E8A"/>
    <w:rsid w:val="00113FE1"/>
    <w:rsid w:val="00114A36"/>
    <w:rsid w:val="00117CC2"/>
    <w:rsid w:val="00121DEA"/>
    <w:rsid w:val="00123C33"/>
    <w:rsid w:val="00124240"/>
    <w:rsid w:val="00126406"/>
    <w:rsid w:val="001267BD"/>
    <w:rsid w:val="00126979"/>
    <w:rsid w:val="00126F71"/>
    <w:rsid w:val="00127583"/>
    <w:rsid w:val="00131590"/>
    <w:rsid w:val="00131925"/>
    <w:rsid w:val="00133024"/>
    <w:rsid w:val="00133209"/>
    <w:rsid w:val="00134037"/>
    <w:rsid w:val="00134A48"/>
    <w:rsid w:val="00134AF9"/>
    <w:rsid w:val="00134B34"/>
    <w:rsid w:val="0013785A"/>
    <w:rsid w:val="00141014"/>
    <w:rsid w:val="00142E7B"/>
    <w:rsid w:val="00143455"/>
    <w:rsid w:val="0014379B"/>
    <w:rsid w:val="00144D5B"/>
    <w:rsid w:val="001456E5"/>
    <w:rsid w:val="00145A5A"/>
    <w:rsid w:val="00150B14"/>
    <w:rsid w:val="0015108F"/>
    <w:rsid w:val="00151647"/>
    <w:rsid w:val="0015201F"/>
    <w:rsid w:val="00152159"/>
    <w:rsid w:val="001526CF"/>
    <w:rsid w:val="001529F9"/>
    <w:rsid w:val="00153D69"/>
    <w:rsid w:val="00154166"/>
    <w:rsid w:val="00154C34"/>
    <w:rsid w:val="00154C5F"/>
    <w:rsid w:val="00156716"/>
    <w:rsid w:val="00156A9A"/>
    <w:rsid w:val="001576E5"/>
    <w:rsid w:val="00161B15"/>
    <w:rsid w:val="001621AE"/>
    <w:rsid w:val="00162876"/>
    <w:rsid w:val="00165C01"/>
    <w:rsid w:val="00166003"/>
    <w:rsid w:val="001668C8"/>
    <w:rsid w:val="00166D8D"/>
    <w:rsid w:val="00166FFF"/>
    <w:rsid w:val="001700C3"/>
    <w:rsid w:val="00170CAB"/>
    <w:rsid w:val="00173434"/>
    <w:rsid w:val="0017437C"/>
    <w:rsid w:val="00174CC7"/>
    <w:rsid w:val="001774C6"/>
    <w:rsid w:val="001805B9"/>
    <w:rsid w:val="00180F95"/>
    <w:rsid w:val="001845F9"/>
    <w:rsid w:val="001846D5"/>
    <w:rsid w:val="00184AB4"/>
    <w:rsid w:val="00185FA2"/>
    <w:rsid w:val="001862F4"/>
    <w:rsid w:val="001864FA"/>
    <w:rsid w:val="00186DAF"/>
    <w:rsid w:val="0019192F"/>
    <w:rsid w:val="00194EED"/>
    <w:rsid w:val="001955A3"/>
    <w:rsid w:val="001957D1"/>
    <w:rsid w:val="00195BF2"/>
    <w:rsid w:val="00196BE4"/>
    <w:rsid w:val="00197037"/>
    <w:rsid w:val="001A010F"/>
    <w:rsid w:val="001A0B3E"/>
    <w:rsid w:val="001A147E"/>
    <w:rsid w:val="001A21E8"/>
    <w:rsid w:val="001A4402"/>
    <w:rsid w:val="001B03F5"/>
    <w:rsid w:val="001B075F"/>
    <w:rsid w:val="001B26A4"/>
    <w:rsid w:val="001B284E"/>
    <w:rsid w:val="001B28E2"/>
    <w:rsid w:val="001B4883"/>
    <w:rsid w:val="001B519C"/>
    <w:rsid w:val="001B5A44"/>
    <w:rsid w:val="001B6AC0"/>
    <w:rsid w:val="001B6DAF"/>
    <w:rsid w:val="001B7396"/>
    <w:rsid w:val="001C11C1"/>
    <w:rsid w:val="001C226A"/>
    <w:rsid w:val="001C2AA2"/>
    <w:rsid w:val="001C3161"/>
    <w:rsid w:val="001C40D1"/>
    <w:rsid w:val="001C580E"/>
    <w:rsid w:val="001C686A"/>
    <w:rsid w:val="001C7FA2"/>
    <w:rsid w:val="001D13C3"/>
    <w:rsid w:val="001D18D6"/>
    <w:rsid w:val="001D1B08"/>
    <w:rsid w:val="001D2C5E"/>
    <w:rsid w:val="001D3372"/>
    <w:rsid w:val="001D3733"/>
    <w:rsid w:val="001D37E6"/>
    <w:rsid w:val="001D383B"/>
    <w:rsid w:val="001D5561"/>
    <w:rsid w:val="001D55E7"/>
    <w:rsid w:val="001D5CA4"/>
    <w:rsid w:val="001D6CC0"/>
    <w:rsid w:val="001E2289"/>
    <w:rsid w:val="001E23CA"/>
    <w:rsid w:val="001E267A"/>
    <w:rsid w:val="001E2761"/>
    <w:rsid w:val="001E2B3E"/>
    <w:rsid w:val="001E5310"/>
    <w:rsid w:val="001E5E8D"/>
    <w:rsid w:val="001E7676"/>
    <w:rsid w:val="001F051F"/>
    <w:rsid w:val="001F0CD9"/>
    <w:rsid w:val="001F1283"/>
    <w:rsid w:val="001F1BA7"/>
    <w:rsid w:val="001F1DAD"/>
    <w:rsid w:val="001F2558"/>
    <w:rsid w:val="001F2C7A"/>
    <w:rsid w:val="001F30D8"/>
    <w:rsid w:val="001F6F83"/>
    <w:rsid w:val="001F70DF"/>
    <w:rsid w:val="001F7FFA"/>
    <w:rsid w:val="00202098"/>
    <w:rsid w:val="00203445"/>
    <w:rsid w:val="00203E72"/>
    <w:rsid w:val="002042F5"/>
    <w:rsid w:val="00205C7F"/>
    <w:rsid w:val="00205DFA"/>
    <w:rsid w:val="00206AEB"/>
    <w:rsid w:val="00206B26"/>
    <w:rsid w:val="00207B2D"/>
    <w:rsid w:val="00207BE5"/>
    <w:rsid w:val="00210E80"/>
    <w:rsid w:val="00211A0D"/>
    <w:rsid w:val="002128AD"/>
    <w:rsid w:val="002131FF"/>
    <w:rsid w:val="00213662"/>
    <w:rsid w:val="00213A3A"/>
    <w:rsid w:val="0021426D"/>
    <w:rsid w:val="0021521A"/>
    <w:rsid w:val="00215338"/>
    <w:rsid w:val="00216304"/>
    <w:rsid w:val="00216A8C"/>
    <w:rsid w:val="00216C4A"/>
    <w:rsid w:val="00221CE6"/>
    <w:rsid w:val="00221F84"/>
    <w:rsid w:val="002220C1"/>
    <w:rsid w:val="00222F0D"/>
    <w:rsid w:val="00223850"/>
    <w:rsid w:val="002244ED"/>
    <w:rsid w:val="002248FE"/>
    <w:rsid w:val="00224911"/>
    <w:rsid w:val="002274D5"/>
    <w:rsid w:val="00227B57"/>
    <w:rsid w:val="002324E1"/>
    <w:rsid w:val="00232B63"/>
    <w:rsid w:val="00233529"/>
    <w:rsid w:val="002337B1"/>
    <w:rsid w:val="00233DC5"/>
    <w:rsid w:val="00233FCD"/>
    <w:rsid w:val="002343BE"/>
    <w:rsid w:val="00235E55"/>
    <w:rsid w:val="00236583"/>
    <w:rsid w:val="00237040"/>
    <w:rsid w:val="00237AF9"/>
    <w:rsid w:val="0024010C"/>
    <w:rsid w:val="00242898"/>
    <w:rsid w:val="00243175"/>
    <w:rsid w:val="00244296"/>
    <w:rsid w:val="00247CD7"/>
    <w:rsid w:val="002519E0"/>
    <w:rsid w:val="002527B9"/>
    <w:rsid w:val="002528FB"/>
    <w:rsid w:val="00254171"/>
    <w:rsid w:val="002547DF"/>
    <w:rsid w:val="00255288"/>
    <w:rsid w:val="00256C63"/>
    <w:rsid w:val="00257718"/>
    <w:rsid w:val="00257D05"/>
    <w:rsid w:val="00257E7C"/>
    <w:rsid w:val="00261885"/>
    <w:rsid w:val="00261FDF"/>
    <w:rsid w:val="00262341"/>
    <w:rsid w:val="00262672"/>
    <w:rsid w:val="00265595"/>
    <w:rsid w:val="00265F88"/>
    <w:rsid w:val="0026601F"/>
    <w:rsid w:val="002665E2"/>
    <w:rsid w:val="0026666B"/>
    <w:rsid w:val="00267B1E"/>
    <w:rsid w:val="00270497"/>
    <w:rsid w:val="00271355"/>
    <w:rsid w:val="00271565"/>
    <w:rsid w:val="0027221B"/>
    <w:rsid w:val="0027348F"/>
    <w:rsid w:val="002734F3"/>
    <w:rsid w:val="00273A9A"/>
    <w:rsid w:val="00274B3C"/>
    <w:rsid w:val="0027598D"/>
    <w:rsid w:val="00282B77"/>
    <w:rsid w:val="0028353F"/>
    <w:rsid w:val="00283F64"/>
    <w:rsid w:val="00283F88"/>
    <w:rsid w:val="00284477"/>
    <w:rsid w:val="00284512"/>
    <w:rsid w:val="00284E20"/>
    <w:rsid w:val="00286D54"/>
    <w:rsid w:val="0028710D"/>
    <w:rsid w:val="00287DEA"/>
    <w:rsid w:val="002904E7"/>
    <w:rsid w:val="00291AE8"/>
    <w:rsid w:val="00292046"/>
    <w:rsid w:val="0029253F"/>
    <w:rsid w:val="002929FF"/>
    <w:rsid w:val="00292A59"/>
    <w:rsid w:val="00294149"/>
    <w:rsid w:val="0029476D"/>
    <w:rsid w:val="00294C12"/>
    <w:rsid w:val="00294C6A"/>
    <w:rsid w:val="0029636F"/>
    <w:rsid w:val="00296B64"/>
    <w:rsid w:val="00297A8C"/>
    <w:rsid w:val="00297D21"/>
    <w:rsid w:val="002A03AE"/>
    <w:rsid w:val="002A1C7C"/>
    <w:rsid w:val="002A2AF6"/>
    <w:rsid w:val="002A328F"/>
    <w:rsid w:val="002A5DB4"/>
    <w:rsid w:val="002A6338"/>
    <w:rsid w:val="002A63F5"/>
    <w:rsid w:val="002A653B"/>
    <w:rsid w:val="002A68AF"/>
    <w:rsid w:val="002B0147"/>
    <w:rsid w:val="002B0325"/>
    <w:rsid w:val="002B0735"/>
    <w:rsid w:val="002B11B3"/>
    <w:rsid w:val="002B3957"/>
    <w:rsid w:val="002B646A"/>
    <w:rsid w:val="002B79CD"/>
    <w:rsid w:val="002C09BA"/>
    <w:rsid w:val="002C109D"/>
    <w:rsid w:val="002C207E"/>
    <w:rsid w:val="002C22F5"/>
    <w:rsid w:val="002C2598"/>
    <w:rsid w:val="002C376B"/>
    <w:rsid w:val="002C541E"/>
    <w:rsid w:val="002C5762"/>
    <w:rsid w:val="002C658E"/>
    <w:rsid w:val="002C67C1"/>
    <w:rsid w:val="002C6945"/>
    <w:rsid w:val="002C6A59"/>
    <w:rsid w:val="002D0026"/>
    <w:rsid w:val="002D0A2B"/>
    <w:rsid w:val="002D0EB6"/>
    <w:rsid w:val="002D1EAB"/>
    <w:rsid w:val="002D234F"/>
    <w:rsid w:val="002D4415"/>
    <w:rsid w:val="002D5893"/>
    <w:rsid w:val="002D6783"/>
    <w:rsid w:val="002D77EE"/>
    <w:rsid w:val="002D7CFF"/>
    <w:rsid w:val="002D7E1A"/>
    <w:rsid w:val="002E0EAE"/>
    <w:rsid w:val="002E2A50"/>
    <w:rsid w:val="002E3BB5"/>
    <w:rsid w:val="002E4898"/>
    <w:rsid w:val="002E6207"/>
    <w:rsid w:val="002E671A"/>
    <w:rsid w:val="002E6F76"/>
    <w:rsid w:val="002E7528"/>
    <w:rsid w:val="002F034A"/>
    <w:rsid w:val="002F0498"/>
    <w:rsid w:val="002F0599"/>
    <w:rsid w:val="002F1ACB"/>
    <w:rsid w:val="002F2D83"/>
    <w:rsid w:val="002F3878"/>
    <w:rsid w:val="002F6414"/>
    <w:rsid w:val="002F6A11"/>
    <w:rsid w:val="002F6EF6"/>
    <w:rsid w:val="00300BBD"/>
    <w:rsid w:val="003016F4"/>
    <w:rsid w:val="003033C5"/>
    <w:rsid w:val="00303BB1"/>
    <w:rsid w:val="00304826"/>
    <w:rsid w:val="003108D8"/>
    <w:rsid w:val="003119FC"/>
    <w:rsid w:val="00312848"/>
    <w:rsid w:val="00312F74"/>
    <w:rsid w:val="0031323D"/>
    <w:rsid w:val="00313935"/>
    <w:rsid w:val="003140A4"/>
    <w:rsid w:val="00314A9A"/>
    <w:rsid w:val="00317047"/>
    <w:rsid w:val="00320356"/>
    <w:rsid w:val="0032062D"/>
    <w:rsid w:val="0032133A"/>
    <w:rsid w:val="0032323C"/>
    <w:rsid w:val="00323491"/>
    <w:rsid w:val="00324175"/>
    <w:rsid w:val="0032440D"/>
    <w:rsid w:val="00324B8E"/>
    <w:rsid w:val="00324E84"/>
    <w:rsid w:val="003252F3"/>
    <w:rsid w:val="00325BB5"/>
    <w:rsid w:val="00326CDB"/>
    <w:rsid w:val="00330ADB"/>
    <w:rsid w:val="00331C93"/>
    <w:rsid w:val="00331D3C"/>
    <w:rsid w:val="003408C6"/>
    <w:rsid w:val="00340C13"/>
    <w:rsid w:val="00341A91"/>
    <w:rsid w:val="00342758"/>
    <w:rsid w:val="00345111"/>
    <w:rsid w:val="00345EF6"/>
    <w:rsid w:val="00346E54"/>
    <w:rsid w:val="00347549"/>
    <w:rsid w:val="0035069C"/>
    <w:rsid w:val="00350BE7"/>
    <w:rsid w:val="00350C98"/>
    <w:rsid w:val="0035239E"/>
    <w:rsid w:val="003536CC"/>
    <w:rsid w:val="00354D5E"/>
    <w:rsid w:val="00355042"/>
    <w:rsid w:val="00355A44"/>
    <w:rsid w:val="00356735"/>
    <w:rsid w:val="0035690F"/>
    <w:rsid w:val="00356E8C"/>
    <w:rsid w:val="003578F0"/>
    <w:rsid w:val="003602A6"/>
    <w:rsid w:val="00360C09"/>
    <w:rsid w:val="00361987"/>
    <w:rsid w:val="003619AD"/>
    <w:rsid w:val="003635B7"/>
    <w:rsid w:val="003645D5"/>
    <w:rsid w:val="00365A2D"/>
    <w:rsid w:val="00366E1D"/>
    <w:rsid w:val="0036732D"/>
    <w:rsid w:val="00367E8D"/>
    <w:rsid w:val="00372D11"/>
    <w:rsid w:val="0037327B"/>
    <w:rsid w:val="003732BD"/>
    <w:rsid w:val="003734C6"/>
    <w:rsid w:val="003735C6"/>
    <w:rsid w:val="00374EAC"/>
    <w:rsid w:val="003752F6"/>
    <w:rsid w:val="00375FCD"/>
    <w:rsid w:val="0037738C"/>
    <w:rsid w:val="0038038F"/>
    <w:rsid w:val="003804C5"/>
    <w:rsid w:val="003811B8"/>
    <w:rsid w:val="00381A93"/>
    <w:rsid w:val="00383651"/>
    <w:rsid w:val="00384574"/>
    <w:rsid w:val="0038479A"/>
    <w:rsid w:val="003860CC"/>
    <w:rsid w:val="003875B4"/>
    <w:rsid w:val="00387C6B"/>
    <w:rsid w:val="0039071F"/>
    <w:rsid w:val="00390B80"/>
    <w:rsid w:val="00390EB8"/>
    <w:rsid w:val="00392FCE"/>
    <w:rsid w:val="00394C53"/>
    <w:rsid w:val="00396C62"/>
    <w:rsid w:val="00397422"/>
    <w:rsid w:val="00397922"/>
    <w:rsid w:val="003A18DE"/>
    <w:rsid w:val="003A197B"/>
    <w:rsid w:val="003A3C62"/>
    <w:rsid w:val="003A5366"/>
    <w:rsid w:val="003A5923"/>
    <w:rsid w:val="003A7052"/>
    <w:rsid w:val="003B023B"/>
    <w:rsid w:val="003B033F"/>
    <w:rsid w:val="003B0396"/>
    <w:rsid w:val="003B041C"/>
    <w:rsid w:val="003B08F1"/>
    <w:rsid w:val="003B142A"/>
    <w:rsid w:val="003B15E1"/>
    <w:rsid w:val="003B1B6B"/>
    <w:rsid w:val="003B1D2E"/>
    <w:rsid w:val="003B26DB"/>
    <w:rsid w:val="003B2B6E"/>
    <w:rsid w:val="003B3135"/>
    <w:rsid w:val="003B469A"/>
    <w:rsid w:val="003B565C"/>
    <w:rsid w:val="003B648F"/>
    <w:rsid w:val="003B6978"/>
    <w:rsid w:val="003B6E9A"/>
    <w:rsid w:val="003B71CB"/>
    <w:rsid w:val="003C03FE"/>
    <w:rsid w:val="003C09E5"/>
    <w:rsid w:val="003C1CAF"/>
    <w:rsid w:val="003C4511"/>
    <w:rsid w:val="003C53C3"/>
    <w:rsid w:val="003C5ABF"/>
    <w:rsid w:val="003C6D3C"/>
    <w:rsid w:val="003C7A64"/>
    <w:rsid w:val="003C7C5E"/>
    <w:rsid w:val="003D1698"/>
    <w:rsid w:val="003D186C"/>
    <w:rsid w:val="003D24A8"/>
    <w:rsid w:val="003D679B"/>
    <w:rsid w:val="003D73E7"/>
    <w:rsid w:val="003E08D6"/>
    <w:rsid w:val="003E09B9"/>
    <w:rsid w:val="003E29AF"/>
    <w:rsid w:val="003E2F04"/>
    <w:rsid w:val="003E38F9"/>
    <w:rsid w:val="003E3B4E"/>
    <w:rsid w:val="003E3C9A"/>
    <w:rsid w:val="003E44EA"/>
    <w:rsid w:val="003E54AB"/>
    <w:rsid w:val="003E54CE"/>
    <w:rsid w:val="003E7ECA"/>
    <w:rsid w:val="003E7F17"/>
    <w:rsid w:val="003F0D3A"/>
    <w:rsid w:val="003F369A"/>
    <w:rsid w:val="003F787E"/>
    <w:rsid w:val="003F7CAE"/>
    <w:rsid w:val="00401A39"/>
    <w:rsid w:val="00401C97"/>
    <w:rsid w:val="00403B4E"/>
    <w:rsid w:val="00404FC4"/>
    <w:rsid w:val="00405052"/>
    <w:rsid w:val="004054FE"/>
    <w:rsid w:val="00406B8D"/>
    <w:rsid w:val="00406D8F"/>
    <w:rsid w:val="004073FB"/>
    <w:rsid w:val="00407400"/>
    <w:rsid w:val="00407C90"/>
    <w:rsid w:val="00413166"/>
    <w:rsid w:val="004134A5"/>
    <w:rsid w:val="00415209"/>
    <w:rsid w:val="00415B78"/>
    <w:rsid w:val="00415CE4"/>
    <w:rsid w:val="004218F3"/>
    <w:rsid w:val="00424698"/>
    <w:rsid w:val="00424A56"/>
    <w:rsid w:val="00433835"/>
    <w:rsid w:val="00435404"/>
    <w:rsid w:val="00435B89"/>
    <w:rsid w:val="00436754"/>
    <w:rsid w:val="0044354D"/>
    <w:rsid w:val="00443DE7"/>
    <w:rsid w:val="00445B30"/>
    <w:rsid w:val="0044621D"/>
    <w:rsid w:val="004463BC"/>
    <w:rsid w:val="00446409"/>
    <w:rsid w:val="004478C9"/>
    <w:rsid w:val="00450754"/>
    <w:rsid w:val="0045434D"/>
    <w:rsid w:val="00455AB1"/>
    <w:rsid w:val="00456206"/>
    <w:rsid w:val="00456F1A"/>
    <w:rsid w:val="00457B86"/>
    <w:rsid w:val="0046198A"/>
    <w:rsid w:val="004628CE"/>
    <w:rsid w:val="00462EDB"/>
    <w:rsid w:val="004646AD"/>
    <w:rsid w:val="00466170"/>
    <w:rsid w:val="00466A18"/>
    <w:rsid w:val="00467F19"/>
    <w:rsid w:val="004723D9"/>
    <w:rsid w:val="004746F9"/>
    <w:rsid w:val="00480395"/>
    <w:rsid w:val="00480628"/>
    <w:rsid w:val="00481205"/>
    <w:rsid w:val="00481872"/>
    <w:rsid w:val="004831E5"/>
    <w:rsid w:val="00483559"/>
    <w:rsid w:val="00483A03"/>
    <w:rsid w:val="00483D5F"/>
    <w:rsid w:val="004853BF"/>
    <w:rsid w:val="004859CF"/>
    <w:rsid w:val="00485FDB"/>
    <w:rsid w:val="00491E0D"/>
    <w:rsid w:val="00492CA6"/>
    <w:rsid w:val="00493039"/>
    <w:rsid w:val="004941E5"/>
    <w:rsid w:val="00494303"/>
    <w:rsid w:val="0049438E"/>
    <w:rsid w:val="00494432"/>
    <w:rsid w:val="0049630D"/>
    <w:rsid w:val="00497E50"/>
    <w:rsid w:val="004A0034"/>
    <w:rsid w:val="004A114D"/>
    <w:rsid w:val="004A1F76"/>
    <w:rsid w:val="004A20C4"/>
    <w:rsid w:val="004A215D"/>
    <w:rsid w:val="004A2903"/>
    <w:rsid w:val="004A4130"/>
    <w:rsid w:val="004A4C38"/>
    <w:rsid w:val="004A4D4D"/>
    <w:rsid w:val="004A5EB5"/>
    <w:rsid w:val="004A5FB9"/>
    <w:rsid w:val="004A6455"/>
    <w:rsid w:val="004B06D4"/>
    <w:rsid w:val="004B1733"/>
    <w:rsid w:val="004B25A3"/>
    <w:rsid w:val="004B2D02"/>
    <w:rsid w:val="004B313D"/>
    <w:rsid w:val="004B4ED0"/>
    <w:rsid w:val="004B4FB6"/>
    <w:rsid w:val="004B7840"/>
    <w:rsid w:val="004B7CD4"/>
    <w:rsid w:val="004B7D51"/>
    <w:rsid w:val="004C07E7"/>
    <w:rsid w:val="004C0B26"/>
    <w:rsid w:val="004C44DA"/>
    <w:rsid w:val="004C6DA8"/>
    <w:rsid w:val="004C6FAB"/>
    <w:rsid w:val="004C778E"/>
    <w:rsid w:val="004D0828"/>
    <w:rsid w:val="004D2004"/>
    <w:rsid w:val="004D27A1"/>
    <w:rsid w:val="004D28B6"/>
    <w:rsid w:val="004D2CB6"/>
    <w:rsid w:val="004D420D"/>
    <w:rsid w:val="004D4A4B"/>
    <w:rsid w:val="004D4C90"/>
    <w:rsid w:val="004D5649"/>
    <w:rsid w:val="004D5D09"/>
    <w:rsid w:val="004D72F7"/>
    <w:rsid w:val="004D7A7F"/>
    <w:rsid w:val="004E0B83"/>
    <w:rsid w:val="004E11D6"/>
    <w:rsid w:val="004E212D"/>
    <w:rsid w:val="004E225C"/>
    <w:rsid w:val="004E22A2"/>
    <w:rsid w:val="004E2614"/>
    <w:rsid w:val="004E7097"/>
    <w:rsid w:val="004F001C"/>
    <w:rsid w:val="004F1AC1"/>
    <w:rsid w:val="004F1C67"/>
    <w:rsid w:val="004F495E"/>
    <w:rsid w:val="004F753E"/>
    <w:rsid w:val="00500F2F"/>
    <w:rsid w:val="0050249F"/>
    <w:rsid w:val="00502CE5"/>
    <w:rsid w:val="005035EB"/>
    <w:rsid w:val="00505732"/>
    <w:rsid w:val="005113AF"/>
    <w:rsid w:val="00511405"/>
    <w:rsid w:val="00511B47"/>
    <w:rsid w:val="00512C18"/>
    <w:rsid w:val="005147B9"/>
    <w:rsid w:val="00520D82"/>
    <w:rsid w:val="005212CF"/>
    <w:rsid w:val="00521913"/>
    <w:rsid w:val="0052320B"/>
    <w:rsid w:val="00523903"/>
    <w:rsid w:val="00523C1F"/>
    <w:rsid w:val="00523EBC"/>
    <w:rsid w:val="005243AD"/>
    <w:rsid w:val="005249F5"/>
    <w:rsid w:val="00525613"/>
    <w:rsid w:val="00531022"/>
    <w:rsid w:val="00531263"/>
    <w:rsid w:val="005335B8"/>
    <w:rsid w:val="0053564C"/>
    <w:rsid w:val="00535FFB"/>
    <w:rsid w:val="005374E8"/>
    <w:rsid w:val="0053784E"/>
    <w:rsid w:val="0054064A"/>
    <w:rsid w:val="005415DA"/>
    <w:rsid w:val="00544764"/>
    <w:rsid w:val="00544AE2"/>
    <w:rsid w:val="00544AFA"/>
    <w:rsid w:val="00546296"/>
    <w:rsid w:val="00547C0D"/>
    <w:rsid w:val="00551999"/>
    <w:rsid w:val="00554045"/>
    <w:rsid w:val="00554548"/>
    <w:rsid w:val="00554E41"/>
    <w:rsid w:val="005550C7"/>
    <w:rsid w:val="005551ED"/>
    <w:rsid w:val="0055714E"/>
    <w:rsid w:val="00560C15"/>
    <w:rsid w:val="00560CDB"/>
    <w:rsid w:val="00561472"/>
    <w:rsid w:val="0056473D"/>
    <w:rsid w:val="00571468"/>
    <w:rsid w:val="005716F1"/>
    <w:rsid w:val="005719AA"/>
    <w:rsid w:val="00572314"/>
    <w:rsid w:val="0057541D"/>
    <w:rsid w:val="00577433"/>
    <w:rsid w:val="00577B99"/>
    <w:rsid w:val="005806A3"/>
    <w:rsid w:val="00580BA3"/>
    <w:rsid w:val="00580DA0"/>
    <w:rsid w:val="00581A8B"/>
    <w:rsid w:val="00582172"/>
    <w:rsid w:val="0058253C"/>
    <w:rsid w:val="00583E42"/>
    <w:rsid w:val="00585DDF"/>
    <w:rsid w:val="00585F62"/>
    <w:rsid w:val="0058600D"/>
    <w:rsid w:val="00586871"/>
    <w:rsid w:val="00590483"/>
    <w:rsid w:val="005937FD"/>
    <w:rsid w:val="00593FBE"/>
    <w:rsid w:val="00593FEF"/>
    <w:rsid w:val="005947FB"/>
    <w:rsid w:val="005957B5"/>
    <w:rsid w:val="00595AA5"/>
    <w:rsid w:val="00595E2D"/>
    <w:rsid w:val="0059652F"/>
    <w:rsid w:val="00596A16"/>
    <w:rsid w:val="005971AD"/>
    <w:rsid w:val="0059765A"/>
    <w:rsid w:val="00597E63"/>
    <w:rsid w:val="005A02EE"/>
    <w:rsid w:val="005A2A7E"/>
    <w:rsid w:val="005A6151"/>
    <w:rsid w:val="005A732A"/>
    <w:rsid w:val="005B077F"/>
    <w:rsid w:val="005B129C"/>
    <w:rsid w:val="005B2815"/>
    <w:rsid w:val="005B2F47"/>
    <w:rsid w:val="005B41AB"/>
    <w:rsid w:val="005B525E"/>
    <w:rsid w:val="005B5B9F"/>
    <w:rsid w:val="005B600E"/>
    <w:rsid w:val="005B64EB"/>
    <w:rsid w:val="005C199F"/>
    <w:rsid w:val="005C207A"/>
    <w:rsid w:val="005C28A9"/>
    <w:rsid w:val="005C2A37"/>
    <w:rsid w:val="005C305D"/>
    <w:rsid w:val="005C3F54"/>
    <w:rsid w:val="005C40D9"/>
    <w:rsid w:val="005C46C2"/>
    <w:rsid w:val="005C4718"/>
    <w:rsid w:val="005C4B7B"/>
    <w:rsid w:val="005C642D"/>
    <w:rsid w:val="005C673A"/>
    <w:rsid w:val="005C702C"/>
    <w:rsid w:val="005D1523"/>
    <w:rsid w:val="005D2633"/>
    <w:rsid w:val="005D3554"/>
    <w:rsid w:val="005D3580"/>
    <w:rsid w:val="005D3EF1"/>
    <w:rsid w:val="005D525B"/>
    <w:rsid w:val="005D5348"/>
    <w:rsid w:val="005D60A4"/>
    <w:rsid w:val="005D6F1B"/>
    <w:rsid w:val="005D7534"/>
    <w:rsid w:val="005E0626"/>
    <w:rsid w:val="005E0A11"/>
    <w:rsid w:val="005E1867"/>
    <w:rsid w:val="005E323D"/>
    <w:rsid w:val="005E3547"/>
    <w:rsid w:val="005E3C2B"/>
    <w:rsid w:val="005E4801"/>
    <w:rsid w:val="005E4882"/>
    <w:rsid w:val="005E4D16"/>
    <w:rsid w:val="005E7A3C"/>
    <w:rsid w:val="005E7BFB"/>
    <w:rsid w:val="005F395A"/>
    <w:rsid w:val="005F39A9"/>
    <w:rsid w:val="005F3C17"/>
    <w:rsid w:val="005F3E18"/>
    <w:rsid w:val="005F4D17"/>
    <w:rsid w:val="005F597B"/>
    <w:rsid w:val="005F7576"/>
    <w:rsid w:val="00600897"/>
    <w:rsid w:val="006008EA"/>
    <w:rsid w:val="00600BA1"/>
    <w:rsid w:val="0060205A"/>
    <w:rsid w:val="00604494"/>
    <w:rsid w:val="00604BFF"/>
    <w:rsid w:val="0060516E"/>
    <w:rsid w:val="00606527"/>
    <w:rsid w:val="00606F91"/>
    <w:rsid w:val="00607CD4"/>
    <w:rsid w:val="006084E2"/>
    <w:rsid w:val="006101DE"/>
    <w:rsid w:val="00610C05"/>
    <w:rsid w:val="006127EB"/>
    <w:rsid w:val="006129AE"/>
    <w:rsid w:val="00613A13"/>
    <w:rsid w:val="00613AED"/>
    <w:rsid w:val="00613B2E"/>
    <w:rsid w:val="00615191"/>
    <w:rsid w:val="006177E0"/>
    <w:rsid w:val="00617B5B"/>
    <w:rsid w:val="006206C2"/>
    <w:rsid w:val="00621B11"/>
    <w:rsid w:val="006221E3"/>
    <w:rsid w:val="00623702"/>
    <w:rsid w:val="00625655"/>
    <w:rsid w:val="00626ABD"/>
    <w:rsid w:val="00626B08"/>
    <w:rsid w:val="00627346"/>
    <w:rsid w:val="006279E4"/>
    <w:rsid w:val="00632795"/>
    <w:rsid w:val="006328D2"/>
    <w:rsid w:val="006334B7"/>
    <w:rsid w:val="006335CE"/>
    <w:rsid w:val="00634212"/>
    <w:rsid w:val="006350D3"/>
    <w:rsid w:val="00635C5D"/>
    <w:rsid w:val="00636AA5"/>
    <w:rsid w:val="00641249"/>
    <w:rsid w:val="00641476"/>
    <w:rsid w:val="00642B07"/>
    <w:rsid w:val="0064321A"/>
    <w:rsid w:val="00645028"/>
    <w:rsid w:val="00647506"/>
    <w:rsid w:val="00650936"/>
    <w:rsid w:val="00650D84"/>
    <w:rsid w:val="0065184A"/>
    <w:rsid w:val="0065324B"/>
    <w:rsid w:val="006539A7"/>
    <w:rsid w:val="0065400D"/>
    <w:rsid w:val="00657B47"/>
    <w:rsid w:val="00660B42"/>
    <w:rsid w:val="00661426"/>
    <w:rsid w:val="00662225"/>
    <w:rsid w:val="0066272A"/>
    <w:rsid w:val="00662D6A"/>
    <w:rsid w:val="00662DEA"/>
    <w:rsid w:val="0066379D"/>
    <w:rsid w:val="00664E79"/>
    <w:rsid w:val="00665C92"/>
    <w:rsid w:val="00667134"/>
    <w:rsid w:val="00667CE0"/>
    <w:rsid w:val="00670CEA"/>
    <w:rsid w:val="00672A84"/>
    <w:rsid w:val="00672DE4"/>
    <w:rsid w:val="00673280"/>
    <w:rsid w:val="00676E77"/>
    <w:rsid w:val="006770D4"/>
    <w:rsid w:val="00677F2F"/>
    <w:rsid w:val="006804B2"/>
    <w:rsid w:val="0068126E"/>
    <w:rsid w:val="00682933"/>
    <w:rsid w:val="0068386A"/>
    <w:rsid w:val="006844DE"/>
    <w:rsid w:val="00685F28"/>
    <w:rsid w:val="0068609E"/>
    <w:rsid w:val="00686AA7"/>
    <w:rsid w:val="006879B9"/>
    <w:rsid w:val="00690B19"/>
    <w:rsid w:val="00692A41"/>
    <w:rsid w:val="00694383"/>
    <w:rsid w:val="00696012"/>
    <w:rsid w:val="00696881"/>
    <w:rsid w:val="00696B3B"/>
    <w:rsid w:val="006A0AF5"/>
    <w:rsid w:val="006A1080"/>
    <w:rsid w:val="006A1C3F"/>
    <w:rsid w:val="006A4029"/>
    <w:rsid w:val="006A559D"/>
    <w:rsid w:val="006A5C14"/>
    <w:rsid w:val="006A5E8B"/>
    <w:rsid w:val="006A70AB"/>
    <w:rsid w:val="006A773A"/>
    <w:rsid w:val="006A7C2D"/>
    <w:rsid w:val="006B156D"/>
    <w:rsid w:val="006B3AF0"/>
    <w:rsid w:val="006B4CD1"/>
    <w:rsid w:val="006B5CD1"/>
    <w:rsid w:val="006B7B13"/>
    <w:rsid w:val="006C1D5D"/>
    <w:rsid w:val="006C22BB"/>
    <w:rsid w:val="006C549D"/>
    <w:rsid w:val="006C5556"/>
    <w:rsid w:val="006C56B0"/>
    <w:rsid w:val="006C7F40"/>
    <w:rsid w:val="006D0CD2"/>
    <w:rsid w:val="006D4C64"/>
    <w:rsid w:val="006D5C18"/>
    <w:rsid w:val="006D6090"/>
    <w:rsid w:val="006D6F44"/>
    <w:rsid w:val="006D706D"/>
    <w:rsid w:val="006D7141"/>
    <w:rsid w:val="006D7218"/>
    <w:rsid w:val="006D7243"/>
    <w:rsid w:val="006D73EF"/>
    <w:rsid w:val="006D78DD"/>
    <w:rsid w:val="006D7FD4"/>
    <w:rsid w:val="006E27EE"/>
    <w:rsid w:val="006E3F88"/>
    <w:rsid w:val="006E461F"/>
    <w:rsid w:val="006E481C"/>
    <w:rsid w:val="006E4844"/>
    <w:rsid w:val="006E53C5"/>
    <w:rsid w:val="006E5B37"/>
    <w:rsid w:val="006E61D4"/>
    <w:rsid w:val="006E664B"/>
    <w:rsid w:val="006E71B8"/>
    <w:rsid w:val="006F0508"/>
    <w:rsid w:val="006F1198"/>
    <w:rsid w:val="006F298D"/>
    <w:rsid w:val="006F7584"/>
    <w:rsid w:val="006F7752"/>
    <w:rsid w:val="0070048B"/>
    <w:rsid w:val="00700DEE"/>
    <w:rsid w:val="00701552"/>
    <w:rsid w:val="0070308B"/>
    <w:rsid w:val="007034FC"/>
    <w:rsid w:val="00703C05"/>
    <w:rsid w:val="00704100"/>
    <w:rsid w:val="00704476"/>
    <w:rsid w:val="00704887"/>
    <w:rsid w:val="0070773E"/>
    <w:rsid w:val="00710438"/>
    <w:rsid w:val="00710867"/>
    <w:rsid w:val="007114E0"/>
    <w:rsid w:val="00712725"/>
    <w:rsid w:val="00712ED1"/>
    <w:rsid w:val="0071300F"/>
    <w:rsid w:val="007136B4"/>
    <w:rsid w:val="007155DB"/>
    <w:rsid w:val="007174F3"/>
    <w:rsid w:val="00723066"/>
    <w:rsid w:val="00723E9E"/>
    <w:rsid w:val="007250D2"/>
    <w:rsid w:val="00725ACD"/>
    <w:rsid w:val="0072639C"/>
    <w:rsid w:val="00726EE4"/>
    <w:rsid w:val="00727EBD"/>
    <w:rsid w:val="00730A6E"/>
    <w:rsid w:val="00730BD6"/>
    <w:rsid w:val="00730DF5"/>
    <w:rsid w:val="00731AC0"/>
    <w:rsid w:val="00731CAC"/>
    <w:rsid w:val="00731DE7"/>
    <w:rsid w:val="007324D6"/>
    <w:rsid w:val="0073351B"/>
    <w:rsid w:val="00733992"/>
    <w:rsid w:val="00734BE1"/>
    <w:rsid w:val="00735F1C"/>
    <w:rsid w:val="007363AB"/>
    <w:rsid w:val="0073776D"/>
    <w:rsid w:val="00737C29"/>
    <w:rsid w:val="00737C8D"/>
    <w:rsid w:val="00740E47"/>
    <w:rsid w:val="0074189A"/>
    <w:rsid w:val="00741972"/>
    <w:rsid w:val="00742BF2"/>
    <w:rsid w:val="007448C2"/>
    <w:rsid w:val="007455F2"/>
    <w:rsid w:val="0074628A"/>
    <w:rsid w:val="00747499"/>
    <w:rsid w:val="007514E3"/>
    <w:rsid w:val="00752843"/>
    <w:rsid w:val="00752BA2"/>
    <w:rsid w:val="00753B11"/>
    <w:rsid w:val="00753B19"/>
    <w:rsid w:val="00754510"/>
    <w:rsid w:val="007550FF"/>
    <w:rsid w:val="007567EC"/>
    <w:rsid w:val="007568E6"/>
    <w:rsid w:val="00757C5C"/>
    <w:rsid w:val="00757CA1"/>
    <w:rsid w:val="0076081F"/>
    <w:rsid w:val="007631F5"/>
    <w:rsid w:val="00767D46"/>
    <w:rsid w:val="00770B14"/>
    <w:rsid w:val="00770B31"/>
    <w:rsid w:val="007710F6"/>
    <w:rsid w:val="00771F35"/>
    <w:rsid w:val="00772E74"/>
    <w:rsid w:val="0077358F"/>
    <w:rsid w:val="00774F12"/>
    <w:rsid w:val="0077555E"/>
    <w:rsid w:val="00776AF5"/>
    <w:rsid w:val="00777EE5"/>
    <w:rsid w:val="00780135"/>
    <w:rsid w:val="00780553"/>
    <w:rsid w:val="007824F6"/>
    <w:rsid w:val="00782AAF"/>
    <w:rsid w:val="0078377B"/>
    <w:rsid w:val="0078455A"/>
    <w:rsid w:val="00786BC8"/>
    <w:rsid w:val="00786D30"/>
    <w:rsid w:val="00786F09"/>
    <w:rsid w:val="00787E68"/>
    <w:rsid w:val="00790207"/>
    <w:rsid w:val="00790E2A"/>
    <w:rsid w:val="007913C5"/>
    <w:rsid w:val="0079191B"/>
    <w:rsid w:val="007919E1"/>
    <w:rsid w:val="00791ED9"/>
    <w:rsid w:val="00793D98"/>
    <w:rsid w:val="007948E8"/>
    <w:rsid w:val="00795305"/>
    <w:rsid w:val="007958B3"/>
    <w:rsid w:val="007973D7"/>
    <w:rsid w:val="007A389E"/>
    <w:rsid w:val="007A3BE4"/>
    <w:rsid w:val="007A507D"/>
    <w:rsid w:val="007A5360"/>
    <w:rsid w:val="007A73F5"/>
    <w:rsid w:val="007A78BA"/>
    <w:rsid w:val="007B037B"/>
    <w:rsid w:val="007B2B5F"/>
    <w:rsid w:val="007B4E0E"/>
    <w:rsid w:val="007B5B30"/>
    <w:rsid w:val="007C0B3D"/>
    <w:rsid w:val="007C0E42"/>
    <w:rsid w:val="007C2626"/>
    <w:rsid w:val="007C2A54"/>
    <w:rsid w:val="007C377D"/>
    <w:rsid w:val="007C6C52"/>
    <w:rsid w:val="007C7061"/>
    <w:rsid w:val="007C79D7"/>
    <w:rsid w:val="007C7FDA"/>
    <w:rsid w:val="007D1771"/>
    <w:rsid w:val="007D3B43"/>
    <w:rsid w:val="007D6A6D"/>
    <w:rsid w:val="007D7D6D"/>
    <w:rsid w:val="007E2AAE"/>
    <w:rsid w:val="007E304D"/>
    <w:rsid w:val="007E443B"/>
    <w:rsid w:val="007E4BAD"/>
    <w:rsid w:val="007E6AE3"/>
    <w:rsid w:val="007E7CC1"/>
    <w:rsid w:val="007E7EA1"/>
    <w:rsid w:val="007F0399"/>
    <w:rsid w:val="007F0977"/>
    <w:rsid w:val="007F3C1C"/>
    <w:rsid w:val="007F3EEE"/>
    <w:rsid w:val="007F4519"/>
    <w:rsid w:val="007F53D4"/>
    <w:rsid w:val="007F59E4"/>
    <w:rsid w:val="007F7689"/>
    <w:rsid w:val="00800D9B"/>
    <w:rsid w:val="008012F4"/>
    <w:rsid w:val="00801FAD"/>
    <w:rsid w:val="008067C3"/>
    <w:rsid w:val="00806F55"/>
    <w:rsid w:val="0080706B"/>
    <w:rsid w:val="00807ABD"/>
    <w:rsid w:val="0081004C"/>
    <w:rsid w:val="008102D7"/>
    <w:rsid w:val="00811D3F"/>
    <w:rsid w:val="00812F30"/>
    <w:rsid w:val="00813C7D"/>
    <w:rsid w:val="00815A5D"/>
    <w:rsid w:val="008210D6"/>
    <w:rsid w:val="008256DE"/>
    <w:rsid w:val="0082584E"/>
    <w:rsid w:val="008277BC"/>
    <w:rsid w:val="00827F04"/>
    <w:rsid w:val="008313C9"/>
    <w:rsid w:val="008324C8"/>
    <w:rsid w:val="00832F8B"/>
    <w:rsid w:val="00834931"/>
    <w:rsid w:val="0083547A"/>
    <w:rsid w:val="00836E00"/>
    <w:rsid w:val="00837F41"/>
    <w:rsid w:val="00840BD4"/>
    <w:rsid w:val="00840CB4"/>
    <w:rsid w:val="00842596"/>
    <w:rsid w:val="008446E2"/>
    <w:rsid w:val="0084579A"/>
    <w:rsid w:val="00845A97"/>
    <w:rsid w:val="008467C2"/>
    <w:rsid w:val="00846D85"/>
    <w:rsid w:val="00850664"/>
    <w:rsid w:val="00850D6C"/>
    <w:rsid w:val="0085113A"/>
    <w:rsid w:val="008517C1"/>
    <w:rsid w:val="00852864"/>
    <w:rsid w:val="008542FF"/>
    <w:rsid w:val="008544E3"/>
    <w:rsid w:val="00854796"/>
    <w:rsid w:val="00855561"/>
    <w:rsid w:val="00855CE7"/>
    <w:rsid w:val="00855F27"/>
    <w:rsid w:val="008560B5"/>
    <w:rsid w:val="0085661A"/>
    <w:rsid w:val="008570D7"/>
    <w:rsid w:val="00857691"/>
    <w:rsid w:val="0085776A"/>
    <w:rsid w:val="0086017D"/>
    <w:rsid w:val="00860F0C"/>
    <w:rsid w:val="00862692"/>
    <w:rsid w:val="008640EE"/>
    <w:rsid w:val="00865866"/>
    <w:rsid w:val="008659B7"/>
    <w:rsid w:val="00865C27"/>
    <w:rsid w:val="008713D1"/>
    <w:rsid w:val="00872F1C"/>
    <w:rsid w:val="00877DC7"/>
    <w:rsid w:val="00880E5E"/>
    <w:rsid w:val="00881941"/>
    <w:rsid w:val="00881942"/>
    <w:rsid w:val="008825A7"/>
    <w:rsid w:val="00883337"/>
    <w:rsid w:val="00883A60"/>
    <w:rsid w:val="00883C90"/>
    <w:rsid w:val="00883EDE"/>
    <w:rsid w:val="008858F3"/>
    <w:rsid w:val="008868CE"/>
    <w:rsid w:val="00890C13"/>
    <w:rsid w:val="0089137B"/>
    <w:rsid w:val="008931E5"/>
    <w:rsid w:val="00894AE5"/>
    <w:rsid w:val="008966B3"/>
    <w:rsid w:val="008966BF"/>
    <w:rsid w:val="00896969"/>
    <w:rsid w:val="008A3656"/>
    <w:rsid w:val="008A5913"/>
    <w:rsid w:val="008A5E42"/>
    <w:rsid w:val="008A5F94"/>
    <w:rsid w:val="008A68DD"/>
    <w:rsid w:val="008A7211"/>
    <w:rsid w:val="008A7978"/>
    <w:rsid w:val="008B0357"/>
    <w:rsid w:val="008B0B53"/>
    <w:rsid w:val="008B1ED3"/>
    <w:rsid w:val="008B30C5"/>
    <w:rsid w:val="008B3D3D"/>
    <w:rsid w:val="008B3F43"/>
    <w:rsid w:val="008B4822"/>
    <w:rsid w:val="008C109C"/>
    <w:rsid w:val="008C12B3"/>
    <w:rsid w:val="008C30C2"/>
    <w:rsid w:val="008C38A9"/>
    <w:rsid w:val="008C5A4D"/>
    <w:rsid w:val="008C61B4"/>
    <w:rsid w:val="008C6BD9"/>
    <w:rsid w:val="008C75A3"/>
    <w:rsid w:val="008D0546"/>
    <w:rsid w:val="008D0BC0"/>
    <w:rsid w:val="008D0EA5"/>
    <w:rsid w:val="008D0EC8"/>
    <w:rsid w:val="008D1592"/>
    <w:rsid w:val="008D1C8C"/>
    <w:rsid w:val="008D2D01"/>
    <w:rsid w:val="008D3EFA"/>
    <w:rsid w:val="008D5574"/>
    <w:rsid w:val="008D57E8"/>
    <w:rsid w:val="008D582B"/>
    <w:rsid w:val="008D60B9"/>
    <w:rsid w:val="008E0082"/>
    <w:rsid w:val="008E013D"/>
    <w:rsid w:val="008E0FB3"/>
    <w:rsid w:val="008E3E34"/>
    <w:rsid w:val="008E4A93"/>
    <w:rsid w:val="008E5167"/>
    <w:rsid w:val="008E68D1"/>
    <w:rsid w:val="008F0693"/>
    <w:rsid w:val="008F16CA"/>
    <w:rsid w:val="008F329A"/>
    <w:rsid w:val="008F3CAC"/>
    <w:rsid w:val="008F45C5"/>
    <w:rsid w:val="008F73FC"/>
    <w:rsid w:val="008F7ECA"/>
    <w:rsid w:val="008F7F37"/>
    <w:rsid w:val="00900F27"/>
    <w:rsid w:val="00901BA3"/>
    <w:rsid w:val="00903260"/>
    <w:rsid w:val="00904C22"/>
    <w:rsid w:val="009052D0"/>
    <w:rsid w:val="009060FC"/>
    <w:rsid w:val="00906F8B"/>
    <w:rsid w:val="009112C5"/>
    <w:rsid w:val="00912846"/>
    <w:rsid w:val="00914D50"/>
    <w:rsid w:val="009150D1"/>
    <w:rsid w:val="009200CB"/>
    <w:rsid w:val="00920AA5"/>
    <w:rsid w:val="00920FE1"/>
    <w:rsid w:val="00921890"/>
    <w:rsid w:val="00921B49"/>
    <w:rsid w:val="00923EEE"/>
    <w:rsid w:val="0092461A"/>
    <w:rsid w:val="00924C05"/>
    <w:rsid w:val="00925812"/>
    <w:rsid w:val="00925AEF"/>
    <w:rsid w:val="00926072"/>
    <w:rsid w:val="009267C3"/>
    <w:rsid w:val="00926C56"/>
    <w:rsid w:val="0092765D"/>
    <w:rsid w:val="009279EE"/>
    <w:rsid w:val="0093082F"/>
    <w:rsid w:val="00930DDD"/>
    <w:rsid w:val="00931A62"/>
    <w:rsid w:val="00931D33"/>
    <w:rsid w:val="00934AC6"/>
    <w:rsid w:val="00935DA4"/>
    <w:rsid w:val="00940065"/>
    <w:rsid w:val="009404DC"/>
    <w:rsid w:val="0094090B"/>
    <w:rsid w:val="00940EF3"/>
    <w:rsid w:val="009443D7"/>
    <w:rsid w:val="009459B5"/>
    <w:rsid w:val="00950FD4"/>
    <w:rsid w:val="00951699"/>
    <w:rsid w:val="00952535"/>
    <w:rsid w:val="00952E3C"/>
    <w:rsid w:val="00953190"/>
    <w:rsid w:val="00954446"/>
    <w:rsid w:val="009546AF"/>
    <w:rsid w:val="00955438"/>
    <w:rsid w:val="00955E9A"/>
    <w:rsid w:val="0095696A"/>
    <w:rsid w:val="009600CD"/>
    <w:rsid w:val="0096038D"/>
    <w:rsid w:val="00960F56"/>
    <w:rsid w:val="00961993"/>
    <w:rsid w:val="0096454C"/>
    <w:rsid w:val="00966245"/>
    <w:rsid w:val="00967F04"/>
    <w:rsid w:val="009709EA"/>
    <w:rsid w:val="00972F34"/>
    <w:rsid w:val="0097318A"/>
    <w:rsid w:val="0097442F"/>
    <w:rsid w:val="009753D4"/>
    <w:rsid w:val="009755A3"/>
    <w:rsid w:val="0097566B"/>
    <w:rsid w:val="00975CA6"/>
    <w:rsid w:val="0097644F"/>
    <w:rsid w:val="00980916"/>
    <w:rsid w:val="009815EB"/>
    <w:rsid w:val="0098213C"/>
    <w:rsid w:val="0098226B"/>
    <w:rsid w:val="0098228A"/>
    <w:rsid w:val="00984810"/>
    <w:rsid w:val="00985A14"/>
    <w:rsid w:val="00985A7F"/>
    <w:rsid w:val="00985BC3"/>
    <w:rsid w:val="009869E1"/>
    <w:rsid w:val="00986AE0"/>
    <w:rsid w:val="009873F1"/>
    <w:rsid w:val="009904DC"/>
    <w:rsid w:val="00991127"/>
    <w:rsid w:val="00991462"/>
    <w:rsid w:val="00992025"/>
    <w:rsid w:val="00993945"/>
    <w:rsid w:val="00993E94"/>
    <w:rsid w:val="00994423"/>
    <w:rsid w:val="0099470A"/>
    <w:rsid w:val="00994B19"/>
    <w:rsid w:val="0099558D"/>
    <w:rsid w:val="00995FB8"/>
    <w:rsid w:val="00997484"/>
    <w:rsid w:val="009A02AB"/>
    <w:rsid w:val="009A0348"/>
    <w:rsid w:val="009A0679"/>
    <w:rsid w:val="009A0F8D"/>
    <w:rsid w:val="009A100F"/>
    <w:rsid w:val="009A2083"/>
    <w:rsid w:val="009A2E57"/>
    <w:rsid w:val="009A3F4A"/>
    <w:rsid w:val="009A5170"/>
    <w:rsid w:val="009A6531"/>
    <w:rsid w:val="009B12A9"/>
    <w:rsid w:val="009B12BF"/>
    <w:rsid w:val="009B1D8F"/>
    <w:rsid w:val="009B53CC"/>
    <w:rsid w:val="009B6EEC"/>
    <w:rsid w:val="009B717F"/>
    <w:rsid w:val="009B79E5"/>
    <w:rsid w:val="009C0134"/>
    <w:rsid w:val="009C0DBE"/>
    <w:rsid w:val="009C1032"/>
    <w:rsid w:val="009C353D"/>
    <w:rsid w:val="009C3A9F"/>
    <w:rsid w:val="009C3F62"/>
    <w:rsid w:val="009C4D52"/>
    <w:rsid w:val="009D1804"/>
    <w:rsid w:val="009D20EC"/>
    <w:rsid w:val="009D38E7"/>
    <w:rsid w:val="009D39B4"/>
    <w:rsid w:val="009D40B7"/>
    <w:rsid w:val="009D594D"/>
    <w:rsid w:val="009E02FD"/>
    <w:rsid w:val="009E09A8"/>
    <w:rsid w:val="009E2836"/>
    <w:rsid w:val="009E2C8F"/>
    <w:rsid w:val="009E3A33"/>
    <w:rsid w:val="009E63B7"/>
    <w:rsid w:val="009E6E6D"/>
    <w:rsid w:val="009F05EB"/>
    <w:rsid w:val="009F0630"/>
    <w:rsid w:val="009F09F1"/>
    <w:rsid w:val="009F2D65"/>
    <w:rsid w:val="009F32B2"/>
    <w:rsid w:val="009F3B13"/>
    <w:rsid w:val="009F3CCE"/>
    <w:rsid w:val="009F43CB"/>
    <w:rsid w:val="009F4946"/>
    <w:rsid w:val="009F5250"/>
    <w:rsid w:val="009F5ED8"/>
    <w:rsid w:val="009F680A"/>
    <w:rsid w:val="009F6DFB"/>
    <w:rsid w:val="009F72E0"/>
    <w:rsid w:val="009F75A6"/>
    <w:rsid w:val="00A0063E"/>
    <w:rsid w:val="00A00842"/>
    <w:rsid w:val="00A0391F"/>
    <w:rsid w:val="00A03AFE"/>
    <w:rsid w:val="00A04CB1"/>
    <w:rsid w:val="00A079AF"/>
    <w:rsid w:val="00A10249"/>
    <w:rsid w:val="00A10EB9"/>
    <w:rsid w:val="00A123FB"/>
    <w:rsid w:val="00A12434"/>
    <w:rsid w:val="00A13404"/>
    <w:rsid w:val="00A13957"/>
    <w:rsid w:val="00A16337"/>
    <w:rsid w:val="00A2034A"/>
    <w:rsid w:val="00A20C31"/>
    <w:rsid w:val="00A21DE4"/>
    <w:rsid w:val="00A228D4"/>
    <w:rsid w:val="00A2325F"/>
    <w:rsid w:val="00A23973"/>
    <w:rsid w:val="00A24646"/>
    <w:rsid w:val="00A24E53"/>
    <w:rsid w:val="00A25134"/>
    <w:rsid w:val="00A25B11"/>
    <w:rsid w:val="00A25B47"/>
    <w:rsid w:val="00A26032"/>
    <w:rsid w:val="00A265DB"/>
    <w:rsid w:val="00A26603"/>
    <w:rsid w:val="00A268A8"/>
    <w:rsid w:val="00A27F0D"/>
    <w:rsid w:val="00A30629"/>
    <w:rsid w:val="00A31442"/>
    <w:rsid w:val="00A32A0C"/>
    <w:rsid w:val="00A3569B"/>
    <w:rsid w:val="00A3708B"/>
    <w:rsid w:val="00A37213"/>
    <w:rsid w:val="00A40FA8"/>
    <w:rsid w:val="00A4181D"/>
    <w:rsid w:val="00A42D3B"/>
    <w:rsid w:val="00A43419"/>
    <w:rsid w:val="00A449DB"/>
    <w:rsid w:val="00A44CD4"/>
    <w:rsid w:val="00A44E81"/>
    <w:rsid w:val="00A4556F"/>
    <w:rsid w:val="00A45818"/>
    <w:rsid w:val="00A468F0"/>
    <w:rsid w:val="00A502F9"/>
    <w:rsid w:val="00A528E6"/>
    <w:rsid w:val="00A53B0C"/>
    <w:rsid w:val="00A5470B"/>
    <w:rsid w:val="00A55C9B"/>
    <w:rsid w:val="00A5705B"/>
    <w:rsid w:val="00A57D05"/>
    <w:rsid w:val="00A60437"/>
    <w:rsid w:val="00A6271E"/>
    <w:rsid w:val="00A63FD1"/>
    <w:rsid w:val="00A64195"/>
    <w:rsid w:val="00A6476A"/>
    <w:rsid w:val="00A66B17"/>
    <w:rsid w:val="00A66D8E"/>
    <w:rsid w:val="00A67A49"/>
    <w:rsid w:val="00A70222"/>
    <w:rsid w:val="00A7104D"/>
    <w:rsid w:val="00A71A32"/>
    <w:rsid w:val="00A73948"/>
    <w:rsid w:val="00A74C37"/>
    <w:rsid w:val="00A75A7B"/>
    <w:rsid w:val="00A7713C"/>
    <w:rsid w:val="00A80421"/>
    <w:rsid w:val="00A811E9"/>
    <w:rsid w:val="00A814FF"/>
    <w:rsid w:val="00A82661"/>
    <w:rsid w:val="00A82F04"/>
    <w:rsid w:val="00A83F4B"/>
    <w:rsid w:val="00A85464"/>
    <w:rsid w:val="00A85D7F"/>
    <w:rsid w:val="00A874F8"/>
    <w:rsid w:val="00A904CD"/>
    <w:rsid w:val="00A90892"/>
    <w:rsid w:val="00A915DF"/>
    <w:rsid w:val="00A94524"/>
    <w:rsid w:val="00A94E49"/>
    <w:rsid w:val="00A95398"/>
    <w:rsid w:val="00A9622A"/>
    <w:rsid w:val="00A968BE"/>
    <w:rsid w:val="00A97183"/>
    <w:rsid w:val="00A9786C"/>
    <w:rsid w:val="00AA1800"/>
    <w:rsid w:val="00AA2083"/>
    <w:rsid w:val="00AA21B3"/>
    <w:rsid w:val="00AA4C36"/>
    <w:rsid w:val="00AA52C8"/>
    <w:rsid w:val="00AA5E37"/>
    <w:rsid w:val="00AA7B7E"/>
    <w:rsid w:val="00AB0743"/>
    <w:rsid w:val="00AB0AEB"/>
    <w:rsid w:val="00AB161E"/>
    <w:rsid w:val="00AB3516"/>
    <w:rsid w:val="00AB3779"/>
    <w:rsid w:val="00AB577E"/>
    <w:rsid w:val="00AB6ED8"/>
    <w:rsid w:val="00AC1685"/>
    <w:rsid w:val="00AC2728"/>
    <w:rsid w:val="00AC50CE"/>
    <w:rsid w:val="00AC6A42"/>
    <w:rsid w:val="00AC7CF4"/>
    <w:rsid w:val="00AD0499"/>
    <w:rsid w:val="00AD15E2"/>
    <w:rsid w:val="00AD1A7D"/>
    <w:rsid w:val="00AD2195"/>
    <w:rsid w:val="00AD2AA2"/>
    <w:rsid w:val="00AD2E55"/>
    <w:rsid w:val="00AD5329"/>
    <w:rsid w:val="00AD6168"/>
    <w:rsid w:val="00AD780C"/>
    <w:rsid w:val="00AE064C"/>
    <w:rsid w:val="00AE1B42"/>
    <w:rsid w:val="00AE2475"/>
    <w:rsid w:val="00AE2B8A"/>
    <w:rsid w:val="00AE3419"/>
    <w:rsid w:val="00AE6E16"/>
    <w:rsid w:val="00AF0A31"/>
    <w:rsid w:val="00AF0CDE"/>
    <w:rsid w:val="00AF1257"/>
    <w:rsid w:val="00AF29FB"/>
    <w:rsid w:val="00AF46BE"/>
    <w:rsid w:val="00AF4D40"/>
    <w:rsid w:val="00AF6371"/>
    <w:rsid w:val="00B01591"/>
    <w:rsid w:val="00B02D39"/>
    <w:rsid w:val="00B04ED1"/>
    <w:rsid w:val="00B06397"/>
    <w:rsid w:val="00B06EC7"/>
    <w:rsid w:val="00B07007"/>
    <w:rsid w:val="00B073A1"/>
    <w:rsid w:val="00B07BE4"/>
    <w:rsid w:val="00B11A7A"/>
    <w:rsid w:val="00B11F8D"/>
    <w:rsid w:val="00B130A4"/>
    <w:rsid w:val="00B157FD"/>
    <w:rsid w:val="00B16641"/>
    <w:rsid w:val="00B17357"/>
    <w:rsid w:val="00B17DC8"/>
    <w:rsid w:val="00B17FA1"/>
    <w:rsid w:val="00B204C2"/>
    <w:rsid w:val="00B20662"/>
    <w:rsid w:val="00B2270F"/>
    <w:rsid w:val="00B23B14"/>
    <w:rsid w:val="00B242E4"/>
    <w:rsid w:val="00B250C1"/>
    <w:rsid w:val="00B25F8A"/>
    <w:rsid w:val="00B26C11"/>
    <w:rsid w:val="00B273F8"/>
    <w:rsid w:val="00B275DE"/>
    <w:rsid w:val="00B3480D"/>
    <w:rsid w:val="00B351CC"/>
    <w:rsid w:val="00B36B2F"/>
    <w:rsid w:val="00B427A0"/>
    <w:rsid w:val="00B43194"/>
    <w:rsid w:val="00B43C63"/>
    <w:rsid w:val="00B4511F"/>
    <w:rsid w:val="00B45960"/>
    <w:rsid w:val="00B46B98"/>
    <w:rsid w:val="00B46EA9"/>
    <w:rsid w:val="00B471D6"/>
    <w:rsid w:val="00B47318"/>
    <w:rsid w:val="00B50105"/>
    <w:rsid w:val="00B511E0"/>
    <w:rsid w:val="00B51AF3"/>
    <w:rsid w:val="00B5405B"/>
    <w:rsid w:val="00B55335"/>
    <w:rsid w:val="00B56B0B"/>
    <w:rsid w:val="00B61BC1"/>
    <w:rsid w:val="00B61F8B"/>
    <w:rsid w:val="00B63767"/>
    <w:rsid w:val="00B64ABB"/>
    <w:rsid w:val="00B65486"/>
    <w:rsid w:val="00B65C0F"/>
    <w:rsid w:val="00B65E05"/>
    <w:rsid w:val="00B666B8"/>
    <w:rsid w:val="00B674FC"/>
    <w:rsid w:val="00B67DF9"/>
    <w:rsid w:val="00B710CF"/>
    <w:rsid w:val="00B71570"/>
    <w:rsid w:val="00B716BA"/>
    <w:rsid w:val="00B72485"/>
    <w:rsid w:val="00B734B4"/>
    <w:rsid w:val="00B739CD"/>
    <w:rsid w:val="00B73A0F"/>
    <w:rsid w:val="00B7450D"/>
    <w:rsid w:val="00B748B4"/>
    <w:rsid w:val="00B74AB9"/>
    <w:rsid w:val="00B75DAC"/>
    <w:rsid w:val="00B775FE"/>
    <w:rsid w:val="00B80250"/>
    <w:rsid w:val="00B80B1B"/>
    <w:rsid w:val="00B80C78"/>
    <w:rsid w:val="00B816B0"/>
    <w:rsid w:val="00B81BD6"/>
    <w:rsid w:val="00B81F72"/>
    <w:rsid w:val="00B83E7D"/>
    <w:rsid w:val="00B8555A"/>
    <w:rsid w:val="00B85886"/>
    <w:rsid w:val="00B85DEB"/>
    <w:rsid w:val="00B86945"/>
    <w:rsid w:val="00B87630"/>
    <w:rsid w:val="00B876F5"/>
    <w:rsid w:val="00B93E08"/>
    <w:rsid w:val="00B93FF8"/>
    <w:rsid w:val="00B9713A"/>
    <w:rsid w:val="00B974F1"/>
    <w:rsid w:val="00B979CF"/>
    <w:rsid w:val="00BA0211"/>
    <w:rsid w:val="00BA1DC3"/>
    <w:rsid w:val="00BA2A97"/>
    <w:rsid w:val="00BA2DE4"/>
    <w:rsid w:val="00BA4120"/>
    <w:rsid w:val="00BA443C"/>
    <w:rsid w:val="00BA62FB"/>
    <w:rsid w:val="00BA6B19"/>
    <w:rsid w:val="00BA6FC8"/>
    <w:rsid w:val="00BB0268"/>
    <w:rsid w:val="00BB15C0"/>
    <w:rsid w:val="00BB1EDC"/>
    <w:rsid w:val="00BB2B14"/>
    <w:rsid w:val="00BB2D0F"/>
    <w:rsid w:val="00BB30BD"/>
    <w:rsid w:val="00BB3681"/>
    <w:rsid w:val="00BB5344"/>
    <w:rsid w:val="00BB5F1E"/>
    <w:rsid w:val="00BB61FF"/>
    <w:rsid w:val="00BB6243"/>
    <w:rsid w:val="00BC19C3"/>
    <w:rsid w:val="00BC1C54"/>
    <w:rsid w:val="00BC2E2E"/>
    <w:rsid w:val="00BC38A0"/>
    <w:rsid w:val="00BC471E"/>
    <w:rsid w:val="00BC729A"/>
    <w:rsid w:val="00BD227A"/>
    <w:rsid w:val="00BD38BD"/>
    <w:rsid w:val="00BD4EDB"/>
    <w:rsid w:val="00BD6010"/>
    <w:rsid w:val="00BD64B6"/>
    <w:rsid w:val="00BE07CB"/>
    <w:rsid w:val="00BE384E"/>
    <w:rsid w:val="00BE39F2"/>
    <w:rsid w:val="00BE45F1"/>
    <w:rsid w:val="00BE47D5"/>
    <w:rsid w:val="00BE6F5E"/>
    <w:rsid w:val="00BF0231"/>
    <w:rsid w:val="00BF176C"/>
    <w:rsid w:val="00BF1A29"/>
    <w:rsid w:val="00BF1D84"/>
    <w:rsid w:val="00BF4A56"/>
    <w:rsid w:val="00BF4DA6"/>
    <w:rsid w:val="00BF786A"/>
    <w:rsid w:val="00C0055E"/>
    <w:rsid w:val="00C00888"/>
    <w:rsid w:val="00C013D9"/>
    <w:rsid w:val="00C01B58"/>
    <w:rsid w:val="00C02E70"/>
    <w:rsid w:val="00C03C4E"/>
    <w:rsid w:val="00C05151"/>
    <w:rsid w:val="00C06FBD"/>
    <w:rsid w:val="00C07986"/>
    <w:rsid w:val="00C1019F"/>
    <w:rsid w:val="00C11053"/>
    <w:rsid w:val="00C120CF"/>
    <w:rsid w:val="00C14316"/>
    <w:rsid w:val="00C150CA"/>
    <w:rsid w:val="00C15C21"/>
    <w:rsid w:val="00C20CAC"/>
    <w:rsid w:val="00C21906"/>
    <w:rsid w:val="00C266CC"/>
    <w:rsid w:val="00C27979"/>
    <w:rsid w:val="00C305F4"/>
    <w:rsid w:val="00C32706"/>
    <w:rsid w:val="00C327BE"/>
    <w:rsid w:val="00C32976"/>
    <w:rsid w:val="00C33041"/>
    <w:rsid w:val="00C33E94"/>
    <w:rsid w:val="00C35ADF"/>
    <w:rsid w:val="00C35CAE"/>
    <w:rsid w:val="00C364DA"/>
    <w:rsid w:val="00C37701"/>
    <w:rsid w:val="00C42045"/>
    <w:rsid w:val="00C42FFE"/>
    <w:rsid w:val="00C4475F"/>
    <w:rsid w:val="00C47067"/>
    <w:rsid w:val="00C47BAB"/>
    <w:rsid w:val="00C501B1"/>
    <w:rsid w:val="00C5065A"/>
    <w:rsid w:val="00C51B1A"/>
    <w:rsid w:val="00C52E2B"/>
    <w:rsid w:val="00C5376A"/>
    <w:rsid w:val="00C55960"/>
    <w:rsid w:val="00C608AF"/>
    <w:rsid w:val="00C60C5C"/>
    <w:rsid w:val="00C62D9D"/>
    <w:rsid w:val="00C652F8"/>
    <w:rsid w:val="00C66AB4"/>
    <w:rsid w:val="00C70329"/>
    <w:rsid w:val="00C708D3"/>
    <w:rsid w:val="00C708DC"/>
    <w:rsid w:val="00C70E6F"/>
    <w:rsid w:val="00C715EA"/>
    <w:rsid w:val="00C71680"/>
    <w:rsid w:val="00C71907"/>
    <w:rsid w:val="00C72E64"/>
    <w:rsid w:val="00C7324F"/>
    <w:rsid w:val="00C73BD8"/>
    <w:rsid w:val="00C76B29"/>
    <w:rsid w:val="00C773BA"/>
    <w:rsid w:val="00C805E4"/>
    <w:rsid w:val="00C80BE9"/>
    <w:rsid w:val="00C8218C"/>
    <w:rsid w:val="00C841A5"/>
    <w:rsid w:val="00C851CB"/>
    <w:rsid w:val="00C852FC"/>
    <w:rsid w:val="00C865A4"/>
    <w:rsid w:val="00C868EC"/>
    <w:rsid w:val="00C8757A"/>
    <w:rsid w:val="00C87611"/>
    <w:rsid w:val="00C919A1"/>
    <w:rsid w:val="00C93C95"/>
    <w:rsid w:val="00C9524D"/>
    <w:rsid w:val="00C9601C"/>
    <w:rsid w:val="00C96209"/>
    <w:rsid w:val="00C969D4"/>
    <w:rsid w:val="00CA213A"/>
    <w:rsid w:val="00CA22C3"/>
    <w:rsid w:val="00CA39DB"/>
    <w:rsid w:val="00CA537E"/>
    <w:rsid w:val="00CA66A0"/>
    <w:rsid w:val="00CA66A4"/>
    <w:rsid w:val="00CA6A6E"/>
    <w:rsid w:val="00CA6AD7"/>
    <w:rsid w:val="00CB1C1C"/>
    <w:rsid w:val="00CB27E4"/>
    <w:rsid w:val="00CB2DA0"/>
    <w:rsid w:val="00CB3D61"/>
    <w:rsid w:val="00CB3E2D"/>
    <w:rsid w:val="00CB5233"/>
    <w:rsid w:val="00CB5526"/>
    <w:rsid w:val="00CB7318"/>
    <w:rsid w:val="00CB7B9B"/>
    <w:rsid w:val="00CC3459"/>
    <w:rsid w:val="00CC3756"/>
    <w:rsid w:val="00CC4677"/>
    <w:rsid w:val="00CC4E33"/>
    <w:rsid w:val="00CC543F"/>
    <w:rsid w:val="00CC5C02"/>
    <w:rsid w:val="00CC6B4E"/>
    <w:rsid w:val="00CC6CAC"/>
    <w:rsid w:val="00CC702A"/>
    <w:rsid w:val="00CD085C"/>
    <w:rsid w:val="00CD2EEF"/>
    <w:rsid w:val="00CD2FE5"/>
    <w:rsid w:val="00CD3910"/>
    <w:rsid w:val="00CD3E1C"/>
    <w:rsid w:val="00CD3F35"/>
    <w:rsid w:val="00CD413B"/>
    <w:rsid w:val="00CD50AF"/>
    <w:rsid w:val="00CD5C98"/>
    <w:rsid w:val="00CD6B20"/>
    <w:rsid w:val="00CD6EF3"/>
    <w:rsid w:val="00CD71D4"/>
    <w:rsid w:val="00CD7C55"/>
    <w:rsid w:val="00CE0828"/>
    <w:rsid w:val="00CE0881"/>
    <w:rsid w:val="00CE25DE"/>
    <w:rsid w:val="00CE26E2"/>
    <w:rsid w:val="00CE2A5C"/>
    <w:rsid w:val="00CE3E58"/>
    <w:rsid w:val="00CE5FF6"/>
    <w:rsid w:val="00CE6C8C"/>
    <w:rsid w:val="00CE7588"/>
    <w:rsid w:val="00CE76E5"/>
    <w:rsid w:val="00CF3BAE"/>
    <w:rsid w:val="00CF670B"/>
    <w:rsid w:val="00D00FF6"/>
    <w:rsid w:val="00D01588"/>
    <w:rsid w:val="00D01600"/>
    <w:rsid w:val="00D01C0E"/>
    <w:rsid w:val="00D03309"/>
    <w:rsid w:val="00D03374"/>
    <w:rsid w:val="00D03EB7"/>
    <w:rsid w:val="00D04722"/>
    <w:rsid w:val="00D05199"/>
    <w:rsid w:val="00D0711F"/>
    <w:rsid w:val="00D07883"/>
    <w:rsid w:val="00D07C6E"/>
    <w:rsid w:val="00D102A6"/>
    <w:rsid w:val="00D10918"/>
    <w:rsid w:val="00D10E25"/>
    <w:rsid w:val="00D110F1"/>
    <w:rsid w:val="00D12D4E"/>
    <w:rsid w:val="00D12ECE"/>
    <w:rsid w:val="00D1330A"/>
    <w:rsid w:val="00D13F47"/>
    <w:rsid w:val="00D14691"/>
    <w:rsid w:val="00D14E3B"/>
    <w:rsid w:val="00D15257"/>
    <w:rsid w:val="00D157FA"/>
    <w:rsid w:val="00D16A78"/>
    <w:rsid w:val="00D21BF4"/>
    <w:rsid w:val="00D2327A"/>
    <w:rsid w:val="00D23510"/>
    <w:rsid w:val="00D24C07"/>
    <w:rsid w:val="00D2541D"/>
    <w:rsid w:val="00D258BE"/>
    <w:rsid w:val="00D268C7"/>
    <w:rsid w:val="00D26B6D"/>
    <w:rsid w:val="00D277C9"/>
    <w:rsid w:val="00D308EC"/>
    <w:rsid w:val="00D31EAF"/>
    <w:rsid w:val="00D32796"/>
    <w:rsid w:val="00D33513"/>
    <w:rsid w:val="00D354AF"/>
    <w:rsid w:val="00D35A51"/>
    <w:rsid w:val="00D37DD7"/>
    <w:rsid w:val="00D37EE8"/>
    <w:rsid w:val="00D400EF"/>
    <w:rsid w:val="00D41C85"/>
    <w:rsid w:val="00D43297"/>
    <w:rsid w:val="00D43550"/>
    <w:rsid w:val="00D435C8"/>
    <w:rsid w:val="00D435EA"/>
    <w:rsid w:val="00D45BE5"/>
    <w:rsid w:val="00D46557"/>
    <w:rsid w:val="00D46899"/>
    <w:rsid w:val="00D468C4"/>
    <w:rsid w:val="00D46C9E"/>
    <w:rsid w:val="00D51B35"/>
    <w:rsid w:val="00D5293F"/>
    <w:rsid w:val="00D52A88"/>
    <w:rsid w:val="00D5389B"/>
    <w:rsid w:val="00D539D0"/>
    <w:rsid w:val="00D53AEF"/>
    <w:rsid w:val="00D54309"/>
    <w:rsid w:val="00D544BF"/>
    <w:rsid w:val="00D557C3"/>
    <w:rsid w:val="00D55A47"/>
    <w:rsid w:val="00D567C5"/>
    <w:rsid w:val="00D602A6"/>
    <w:rsid w:val="00D61641"/>
    <w:rsid w:val="00D625D5"/>
    <w:rsid w:val="00D66033"/>
    <w:rsid w:val="00D667A8"/>
    <w:rsid w:val="00D708BD"/>
    <w:rsid w:val="00D70DD2"/>
    <w:rsid w:val="00D717AF"/>
    <w:rsid w:val="00D727F7"/>
    <w:rsid w:val="00D732FE"/>
    <w:rsid w:val="00D75F99"/>
    <w:rsid w:val="00D7728D"/>
    <w:rsid w:val="00D77B65"/>
    <w:rsid w:val="00D80DCF"/>
    <w:rsid w:val="00D82887"/>
    <w:rsid w:val="00D83370"/>
    <w:rsid w:val="00D8593E"/>
    <w:rsid w:val="00D85B0A"/>
    <w:rsid w:val="00D877C7"/>
    <w:rsid w:val="00D9073A"/>
    <w:rsid w:val="00D909A0"/>
    <w:rsid w:val="00D910BA"/>
    <w:rsid w:val="00D92FE6"/>
    <w:rsid w:val="00D9546C"/>
    <w:rsid w:val="00D95A37"/>
    <w:rsid w:val="00D972E8"/>
    <w:rsid w:val="00D97594"/>
    <w:rsid w:val="00DA2965"/>
    <w:rsid w:val="00DA3379"/>
    <w:rsid w:val="00DA4A6E"/>
    <w:rsid w:val="00DA552F"/>
    <w:rsid w:val="00DA57BC"/>
    <w:rsid w:val="00DA5F60"/>
    <w:rsid w:val="00DA63C6"/>
    <w:rsid w:val="00DA7AD8"/>
    <w:rsid w:val="00DB0849"/>
    <w:rsid w:val="00DB1FF0"/>
    <w:rsid w:val="00DB201D"/>
    <w:rsid w:val="00DB2918"/>
    <w:rsid w:val="00DB3032"/>
    <w:rsid w:val="00DB323F"/>
    <w:rsid w:val="00DB3659"/>
    <w:rsid w:val="00DB3FAD"/>
    <w:rsid w:val="00DB40E3"/>
    <w:rsid w:val="00DB7E13"/>
    <w:rsid w:val="00DC00F2"/>
    <w:rsid w:val="00DC065C"/>
    <w:rsid w:val="00DC0CA6"/>
    <w:rsid w:val="00DC1306"/>
    <w:rsid w:val="00DC1454"/>
    <w:rsid w:val="00DC1EDB"/>
    <w:rsid w:val="00DC2283"/>
    <w:rsid w:val="00DC49EF"/>
    <w:rsid w:val="00DC6A79"/>
    <w:rsid w:val="00DD020F"/>
    <w:rsid w:val="00DD024E"/>
    <w:rsid w:val="00DD16A1"/>
    <w:rsid w:val="00DD2A5C"/>
    <w:rsid w:val="00DD30C9"/>
    <w:rsid w:val="00DD34C7"/>
    <w:rsid w:val="00DD3558"/>
    <w:rsid w:val="00DD3749"/>
    <w:rsid w:val="00DD4950"/>
    <w:rsid w:val="00DD4B69"/>
    <w:rsid w:val="00DD5A8B"/>
    <w:rsid w:val="00DE0366"/>
    <w:rsid w:val="00DE1B76"/>
    <w:rsid w:val="00DE297A"/>
    <w:rsid w:val="00DE2ACA"/>
    <w:rsid w:val="00DE428F"/>
    <w:rsid w:val="00DE5E03"/>
    <w:rsid w:val="00DE6229"/>
    <w:rsid w:val="00DE65DC"/>
    <w:rsid w:val="00DE7E95"/>
    <w:rsid w:val="00DF1643"/>
    <w:rsid w:val="00DF1E17"/>
    <w:rsid w:val="00DF273E"/>
    <w:rsid w:val="00DF31A6"/>
    <w:rsid w:val="00DF44DE"/>
    <w:rsid w:val="00DF45CB"/>
    <w:rsid w:val="00DF528B"/>
    <w:rsid w:val="00DF6AA7"/>
    <w:rsid w:val="00E016B2"/>
    <w:rsid w:val="00E0503D"/>
    <w:rsid w:val="00E060DC"/>
    <w:rsid w:val="00E06226"/>
    <w:rsid w:val="00E070C1"/>
    <w:rsid w:val="00E1077A"/>
    <w:rsid w:val="00E10A1C"/>
    <w:rsid w:val="00E11B75"/>
    <w:rsid w:val="00E14CC0"/>
    <w:rsid w:val="00E152DB"/>
    <w:rsid w:val="00E16A6E"/>
    <w:rsid w:val="00E16DD6"/>
    <w:rsid w:val="00E16E4E"/>
    <w:rsid w:val="00E21680"/>
    <w:rsid w:val="00E21AB8"/>
    <w:rsid w:val="00E23452"/>
    <w:rsid w:val="00E23975"/>
    <w:rsid w:val="00E23EA8"/>
    <w:rsid w:val="00E23EE4"/>
    <w:rsid w:val="00E245BB"/>
    <w:rsid w:val="00E247C9"/>
    <w:rsid w:val="00E24E32"/>
    <w:rsid w:val="00E26449"/>
    <w:rsid w:val="00E26F6C"/>
    <w:rsid w:val="00E31AE7"/>
    <w:rsid w:val="00E34227"/>
    <w:rsid w:val="00E360BC"/>
    <w:rsid w:val="00E407D7"/>
    <w:rsid w:val="00E40E8C"/>
    <w:rsid w:val="00E42396"/>
    <w:rsid w:val="00E4370F"/>
    <w:rsid w:val="00E43A83"/>
    <w:rsid w:val="00E43DAF"/>
    <w:rsid w:val="00E44551"/>
    <w:rsid w:val="00E45644"/>
    <w:rsid w:val="00E45995"/>
    <w:rsid w:val="00E50524"/>
    <w:rsid w:val="00E50BC9"/>
    <w:rsid w:val="00E50C95"/>
    <w:rsid w:val="00E52AFE"/>
    <w:rsid w:val="00E53C64"/>
    <w:rsid w:val="00E5507E"/>
    <w:rsid w:val="00E567D1"/>
    <w:rsid w:val="00E60F04"/>
    <w:rsid w:val="00E629E5"/>
    <w:rsid w:val="00E63F8F"/>
    <w:rsid w:val="00E64877"/>
    <w:rsid w:val="00E64B1B"/>
    <w:rsid w:val="00E658E9"/>
    <w:rsid w:val="00E66FD9"/>
    <w:rsid w:val="00E700AC"/>
    <w:rsid w:val="00E71C70"/>
    <w:rsid w:val="00E71EA6"/>
    <w:rsid w:val="00E727B1"/>
    <w:rsid w:val="00E76795"/>
    <w:rsid w:val="00E77864"/>
    <w:rsid w:val="00E80374"/>
    <w:rsid w:val="00E8107B"/>
    <w:rsid w:val="00E812CD"/>
    <w:rsid w:val="00E81DDC"/>
    <w:rsid w:val="00E820C5"/>
    <w:rsid w:val="00E82895"/>
    <w:rsid w:val="00E8387E"/>
    <w:rsid w:val="00E84725"/>
    <w:rsid w:val="00E84BD0"/>
    <w:rsid w:val="00E85894"/>
    <w:rsid w:val="00E87C47"/>
    <w:rsid w:val="00E87F65"/>
    <w:rsid w:val="00E916F7"/>
    <w:rsid w:val="00E91AA3"/>
    <w:rsid w:val="00E91F00"/>
    <w:rsid w:val="00E93B2F"/>
    <w:rsid w:val="00E94379"/>
    <w:rsid w:val="00E96CE2"/>
    <w:rsid w:val="00E97878"/>
    <w:rsid w:val="00E97C54"/>
    <w:rsid w:val="00EA0E8C"/>
    <w:rsid w:val="00EA3A4C"/>
    <w:rsid w:val="00EA413C"/>
    <w:rsid w:val="00EA5E21"/>
    <w:rsid w:val="00EA64E4"/>
    <w:rsid w:val="00EA6896"/>
    <w:rsid w:val="00EA6EDE"/>
    <w:rsid w:val="00EA7D5C"/>
    <w:rsid w:val="00EB189B"/>
    <w:rsid w:val="00EB1C5C"/>
    <w:rsid w:val="00EB4C02"/>
    <w:rsid w:val="00EB5174"/>
    <w:rsid w:val="00EB5AC1"/>
    <w:rsid w:val="00EC05E8"/>
    <w:rsid w:val="00EC1B4C"/>
    <w:rsid w:val="00EC214E"/>
    <w:rsid w:val="00EC2478"/>
    <w:rsid w:val="00EC291F"/>
    <w:rsid w:val="00EC4B65"/>
    <w:rsid w:val="00EC597A"/>
    <w:rsid w:val="00EC61E0"/>
    <w:rsid w:val="00ED2821"/>
    <w:rsid w:val="00ED2F02"/>
    <w:rsid w:val="00ED347C"/>
    <w:rsid w:val="00ED3AB0"/>
    <w:rsid w:val="00ED42E0"/>
    <w:rsid w:val="00ED43B2"/>
    <w:rsid w:val="00ED56C9"/>
    <w:rsid w:val="00EE263B"/>
    <w:rsid w:val="00EE2FD1"/>
    <w:rsid w:val="00EE5194"/>
    <w:rsid w:val="00EE6773"/>
    <w:rsid w:val="00EE7E12"/>
    <w:rsid w:val="00EF00CE"/>
    <w:rsid w:val="00EF110A"/>
    <w:rsid w:val="00EF3143"/>
    <w:rsid w:val="00EF3172"/>
    <w:rsid w:val="00EF4F5E"/>
    <w:rsid w:val="00EF5B85"/>
    <w:rsid w:val="00EF6337"/>
    <w:rsid w:val="00EF73CC"/>
    <w:rsid w:val="00EF7976"/>
    <w:rsid w:val="00F00937"/>
    <w:rsid w:val="00F03A1F"/>
    <w:rsid w:val="00F06D9E"/>
    <w:rsid w:val="00F0726B"/>
    <w:rsid w:val="00F1040D"/>
    <w:rsid w:val="00F11C80"/>
    <w:rsid w:val="00F12233"/>
    <w:rsid w:val="00F134D6"/>
    <w:rsid w:val="00F137DD"/>
    <w:rsid w:val="00F138DE"/>
    <w:rsid w:val="00F15496"/>
    <w:rsid w:val="00F16CBF"/>
    <w:rsid w:val="00F210EF"/>
    <w:rsid w:val="00F2142B"/>
    <w:rsid w:val="00F227C0"/>
    <w:rsid w:val="00F23FBC"/>
    <w:rsid w:val="00F24043"/>
    <w:rsid w:val="00F2520D"/>
    <w:rsid w:val="00F317A6"/>
    <w:rsid w:val="00F3197E"/>
    <w:rsid w:val="00F32A1D"/>
    <w:rsid w:val="00F32B2A"/>
    <w:rsid w:val="00F34946"/>
    <w:rsid w:val="00F35DDE"/>
    <w:rsid w:val="00F370BA"/>
    <w:rsid w:val="00F37447"/>
    <w:rsid w:val="00F411AA"/>
    <w:rsid w:val="00F41603"/>
    <w:rsid w:val="00F41683"/>
    <w:rsid w:val="00F41D4F"/>
    <w:rsid w:val="00F41D63"/>
    <w:rsid w:val="00F42C62"/>
    <w:rsid w:val="00F42C94"/>
    <w:rsid w:val="00F4345B"/>
    <w:rsid w:val="00F467A6"/>
    <w:rsid w:val="00F47343"/>
    <w:rsid w:val="00F47AC1"/>
    <w:rsid w:val="00F53E3B"/>
    <w:rsid w:val="00F54715"/>
    <w:rsid w:val="00F54800"/>
    <w:rsid w:val="00F55FDE"/>
    <w:rsid w:val="00F600F0"/>
    <w:rsid w:val="00F6077F"/>
    <w:rsid w:val="00F62A84"/>
    <w:rsid w:val="00F63397"/>
    <w:rsid w:val="00F644E8"/>
    <w:rsid w:val="00F659AD"/>
    <w:rsid w:val="00F71D03"/>
    <w:rsid w:val="00F72264"/>
    <w:rsid w:val="00F725BA"/>
    <w:rsid w:val="00F72A57"/>
    <w:rsid w:val="00F73CBF"/>
    <w:rsid w:val="00F740F8"/>
    <w:rsid w:val="00F7419F"/>
    <w:rsid w:val="00F74F67"/>
    <w:rsid w:val="00F75A0A"/>
    <w:rsid w:val="00F7650E"/>
    <w:rsid w:val="00F76C81"/>
    <w:rsid w:val="00F77E8E"/>
    <w:rsid w:val="00F8149A"/>
    <w:rsid w:val="00F814C5"/>
    <w:rsid w:val="00F82724"/>
    <w:rsid w:val="00F82F5C"/>
    <w:rsid w:val="00F831EB"/>
    <w:rsid w:val="00F90303"/>
    <w:rsid w:val="00F90350"/>
    <w:rsid w:val="00F90892"/>
    <w:rsid w:val="00F91DF5"/>
    <w:rsid w:val="00F93CCF"/>
    <w:rsid w:val="00F9521E"/>
    <w:rsid w:val="00F967BE"/>
    <w:rsid w:val="00F973D2"/>
    <w:rsid w:val="00FA040C"/>
    <w:rsid w:val="00FA1399"/>
    <w:rsid w:val="00FA13D2"/>
    <w:rsid w:val="00FA25D8"/>
    <w:rsid w:val="00FA27E1"/>
    <w:rsid w:val="00FA6991"/>
    <w:rsid w:val="00FA7BC4"/>
    <w:rsid w:val="00FB079A"/>
    <w:rsid w:val="00FB1515"/>
    <w:rsid w:val="00FB1C51"/>
    <w:rsid w:val="00FB27C3"/>
    <w:rsid w:val="00FB2944"/>
    <w:rsid w:val="00FB60E2"/>
    <w:rsid w:val="00FB6816"/>
    <w:rsid w:val="00FB6888"/>
    <w:rsid w:val="00FC0651"/>
    <w:rsid w:val="00FC0C2C"/>
    <w:rsid w:val="00FC55E8"/>
    <w:rsid w:val="00FC6943"/>
    <w:rsid w:val="00FC7612"/>
    <w:rsid w:val="00FC7D95"/>
    <w:rsid w:val="00FD04CE"/>
    <w:rsid w:val="00FD08AC"/>
    <w:rsid w:val="00FD08D5"/>
    <w:rsid w:val="00FD09BA"/>
    <w:rsid w:val="00FD2C6F"/>
    <w:rsid w:val="00FD34D0"/>
    <w:rsid w:val="00FD3E92"/>
    <w:rsid w:val="00FD476E"/>
    <w:rsid w:val="00FD5A72"/>
    <w:rsid w:val="00FD5AF8"/>
    <w:rsid w:val="00FD5C9C"/>
    <w:rsid w:val="00FD69BC"/>
    <w:rsid w:val="00FE0DB7"/>
    <w:rsid w:val="00FE2DA7"/>
    <w:rsid w:val="00FE2FEB"/>
    <w:rsid w:val="00FE5C81"/>
    <w:rsid w:val="00FE74E5"/>
    <w:rsid w:val="00FF06A2"/>
    <w:rsid w:val="00FF0FB2"/>
    <w:rsid w:val="00FF2044"/>
    <w:rsid w:val="00FF372B"/>
    <w:rsid w:val="00FF406D"/>
    <w:rsid w:val="00FF7CB8"/>
    <w:rsid w:val="01A4C34E"/>
    <w:rsid w:val="02333DE0"/>
    <w:rsid w:val="03B60DCF"/>
    <w:rsid w:val="04701ECC"/>
    <w:rsid w:val="04C61230"/>
    <w:rsid w:val="05491024"/>
    <w:rsid w:val="05711E34"/>
    <w:rsid w:val="07652C45"/>
    <w:rsid w:val="09101D96"/>
    <w:rsid w:val="09FAFCB9"/>
    <w:rsid w:val="0AF5F433"/>
    <w:rsid w:val="0B3A353F"/>
    <w:rsid w:val="0B6FA90D"/>
    <w:rsid w:val="0C0ABF5C"/>
    <w:rsid w:val="0CAEEFB1"/>
    <w:rsid w:val="0D47E49A"/>
    <w:rsid w:val="0E2C4933"/>
    <w:rsid w:val="0EE76C05"/>
    <w:rsid w:val="1040753D"/>
    <w:rsid w:val="12847D43"/>
    <w:rsid w:val="143AEDF7"/>
    <w:rsid w:val="14EF7293"/>
    <w:rsid w:val="168BB4F8"/>
    <w:rsid w:val="17F9ADB8"/>
    <w:rsid w:val="18171527"/>
    <w:rsid w:val="18214EC6"/>
    <w:rsid w:val="18BE80A1"/>
    <w:rsid w:val="193444A8"/>
    <w:rsid w:val="1B6DFC39"/>
    <w:rsid w:val="1BBDB889"/>
    <w:rsid w:val="1D8171D8"/>
    <w:rsid w:val="1E12B069"/>
    <w:rsid w:val="1E1E2515"/>
    <w:rsid w:val="1E353020"/>
    <w:rsid w:val="1FB13BAD"/>
    <w:rsid w:val="204FC4E3"/>
    <w:rsid w:val="20CC7E23"/>
    <w:rsid w:val="217D08DF"/>
    <w:rsid w:val="21B52C8D"/>
    <w:rsid w:val="231E1E95"/>
    <w:rsid w:val="234F3A91"/>
    <w:rsid w:val="23E9D3EF"/>
    <w:rsid w:val="25592D09"/>
    <w:rsid w:val="25D22984"/>
    <w:rsid w:val="2680AA1A"/>
    <w:rsid w:val="2795EE0F"/>
    <w:rsid w:val="28D9C920"/>
    <w:rsid w:val="2A920C0A"/>
    <w:rsid w:val="2C6D2DE6"/>
    <w:rsid w:val="2CB89880"/>
    <w:rsid w:val="2D690AA3"/>
    <w:rsid w:val="2D7F69E0"/>
    <w:rsid w:val="2D8798F2"/>
    <w:rsid w:val="2D893570"/>
    <w:rsid w:val="304B0E68"/>
    <w:rsid w:val="313DF300"/>
    <w:rsid w:val="32DADB55"/>
    <w:rsid w:val="331A89F4"/>
    <w:rsid w:val="3326BC67"/>
    <w:rsid w:val="334F9492"/>
    <w:rsid w:val="33E0A8E6"/>
    <w:rsid w:val="3440177E"/>
    <w:rsid w:val="378B6053"/>
    <w:rsid w:val="37990FC1"/>
    <w:rsid w:val="3989ABA8"/>
    <w:rsid w:val="3A5CD9BD"/>
    <w:rsid w:val="3A9F49F1"/>
    <w:rsid w:val="3B5F26BF"/>
    <w:rsid w:val="3BC82CBD"/>
    <w:rsid w:val="3C5767F7"/>
    <w:rsid w:val="3C9D23C0"/>
    <w:rsid w:val="3D682D03"/>
    <w:rsid w:val="3DAAE63E"/>
    <w:rsid w:val="40C936A4"/>
    <w:rsid w:val="40EF99AA"/>
    <w:rsid w:val="40F2E1F2"/>
    <w:rsid w:val="417E612F"/>
    <w:rsid w:val="42983440"/>
    <w:rsid w:val="43189D81"/>
    <w:rsid w:val="4437FCB7"/>
    <w:rsid w:val="44D9D0EB"/>
    <w:rsid w:val="451785F6"/>
    <w:rsid w:val="45419597"/>
    <w:rsid w:val="48483EA2"/>
    <w:rsid w:val="494EC3F0"/>
    <w:rsid w:val="49B43F1A"/>
    <w:rsid w:val="49E91C21"/>
    <w:rsid w:val="4BBFC1D8"/>
    <w:rsid w:val="4C9F27CB"/>
    <w:rsid w:val="4DF74843"/>
    <w:rsid w:val="4E58DE2D"/>
    <w:rsid w:val="4E8A59A8"/>
    <w:rsid w:val="4EBA20CF"/>
    <w:rsid w:val="4F7D3D1A"/>
    <w:rsid w:val="506C0A8C"/>
    <w:rsid w:val="5222BD58"/>
    <w:rsid w:val="52277159"/>
    <w:rsid w:val="538349ED"/>
    <w:rsid w:val="5435A02D"/>
    <w:rsid w:val="5435E0EE"/>
    <w:rsid w:val="548A703A"/>
    <w:rsid w:val="54C453FE"/>
    <w:rsid w:val="54F422B7"/>
    <w:rsid w:val="561AB1AB"/>
    <w:rsid w:val="56A4BAA2"/>
    <w:rsid w:val="56ADC9F9"/>
    <w:rsid w:val="56EEC7B8"/>
    <w:rsid w:val="57743EB5"/>
    <w:rsid w:val="57AD7AD3"/>
    <w:rsid w:val="58070AD2"/>
    <w:rsid w:val="58420336"/>
    <w:rsid w:val="586F4ABD"/>
    <w:rsid w:val="587D033E"/>
    <w:rsid w:val="5893089D"/>
    <w:rsid w:val="59414CDD"/>
    <w:rsid w:val="59DAA05E"/>
    <w:rsid w:val="5A648642"/>
    <w:rsid w:val="5B483FF7"/>
    <w:rsid w:val="5BD0466A"/>
    <w:rsid w:val="5C0BCF4D"/>
    <w:rsid w:val="5C0EB2FD"/>
    <w:rsid w:val="5C4ED2A9"/>
    <w:rsid w:val="5C572D21"/>
    <w:rsid w:val="5CACBB13"/>
    <w:rsid w:val="5DEBEF4F"/>
    <w:rsid w:val="5F694DAD"/>
    <w:rsid w:val="608012DE"/>
    <w:rsid w:val="61A6C58D"/>
    <w:rsid w:val="63A72A3D"/>
    <w:rsid w:val="63CFA5C4"/>
    <w:rsid w:val="6509EBCB"/>
    <w:rsid w:val="66488E33"/>
    <w:rsid w:val="67409D28"/>
    <w:rsid w:val="67759A4D"/>
    <w:rsid w:val="67A47F15"/>
    <w:rsid w:val="68BE7FA4"/>
    <w:rsid w:val="69E363A9"/>
    <w:rsid w:val="6A048733"/>
    <w:rsid w:val="6E205468"/>
    <w:rsid w:val="6F8A1086"/>
    <w:rsid w:val="6F9E7878"/>
    <w:rsid w:val="6FBF021D"/>
    <w:rsid w:val="703A61DF"/>
    <w:rsid w:val="70B95680"/>
    <w:rsid w:val="725B22AB"/>
    <w:rsid w:val="72830509"/>
    <w:rsid w:val="72B3D223"/>
    <w:rsid w:val="73955F89"/>
    <w:rsid w:val="748EA30E"/>
    <w:rsid w:val="74D448AB"/>
    <w:rsid w:val="78C9F031"/>
    <w:rsid w:val="78E15DA7"/>
    <w:rsid w:val="7AD4F9F3"/>
    <w:rsid w:val="7BD9095F"/>
    <w:rsid w:val="7CED4169"/>
    <w:rsid w:val="7CF1D8F9"/>
    <w:rsid w:val="7DAEDD12"/>
    <w:rsid w:val="7DBFCDA3"/>
    <w:rsid w:val="7F7A70BB"/>
    <w:rsid w:val="7FC5FC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4D83C"/>
  <w15:chartTrackingRefBased/>
  <w15:docId w15:val="{D1CF4F05-F22B-4380-96C0-CEF7B3E7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33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C1C5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335"/>
    <w:pPr>
      <w:ind w:left="720"/>
      <w:contextualSpacing/>
    </w:pPr>
  </w:style>
  <w:style w:type="character" w:customStyle="1" w:styleId="ui-provider">
    <w:name w:val="ui-provider"/>
    <w:basedOn w:val="DefaultParagraphFont"/>
    <w:rsid w:val="00B55335"/>
  </w:style>
  <w:style w:type="character" w:styleId="Hyperlink">
    <w:name w:val="Hyperlink"/>
    <w:basedOn w:val="DefaultParagraphFont"/>
    <w:uiPriority w:val="99"/>
    <w:unhideWhenUsed/>
    <w:rsid w:val="009052D0"/>
    <w:rPr>
      <w:color w:val="0000FF"/>
      <w:u w:val="single"/>
    </w:rPr>
  </w:style>
  <w:style w:type="character" w:styleId="FollowedHyperlink">
    <w:name w:val="FollowedHyperlink"/>
    <w:basedOn w:val="DefaultParagraphFont"/>
    <w:uiPriority w:val="99"/>
    <w:semiHidden/>
    <w:unhideWhenUsed/>
    <w:rsid w:val="009052D0"/>
    <w:rPr>
      <w:color w:val="954F72" w:themeColor="followedHyperlink"/>
      <w:u w:val="single"/>
    </w:rPr>
  </w:style>
  <w:style w:type="character" w:styleId="CommentReference">
    <w:name w:val="annotation reference"/>
    <w:basedOn w:val="DefaultParagraphFont"/>
    <w:uiPriority w:val="99"/>
    <w:semiHidden/>
    <w:unhideWhenUsed/>
    <w:rsid w:val="009052D0"/>
    <w:rPr>
      <w:sz w:val="16"/>
      <w:szCs w:val="16"/>
    </w:rPr>
  </w:style>
  <w:style w:type="paragraph" w:styleId="CommentText">
    <w:name w:val="annotation text"/>
    <w:basedOn w:val="Normal"/>
    <w:link w:val="CommentTextChar"/>
    <w:uiPriority w:val="99"/>
    <w:unhideWhenUsed/>
    <w:rsid w:val="009052D0"/>
    <w:rPr>
      <w:sz w:val="20"/>
      <w:szCs w:val="20"/>
    </w:rPr>
  </w:style>
  <w:style w:type="character" w:customStyle="1" w:styleId="CommentTextChar">
    <w:name w:val="Comment Text Char"/>
    <w:basedOn w:val="DefaultParagraphFont"/>
    <w:link w:val="CommentText"/>
    <w:uiPriority w:val="99"/>
    <w:rsid w:val="009052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52D0"/>
    <w:rPr>
      <w:b/>
      <w:bCs/>
    </w:rPr>
  </w:style>
  <w:style w:type="character" w:customStyle="1" w:styleId="CommentSubjectChar">
    <w:name w:val="Comment Subject Char"/>
    <w:basedOn w:val="CommentTextChar"/>
    <w:link w:val="CommentSubject"/>
    <w:uiPriority w:val="99"/>
    <w:semiHidden/>
    <w:rsid w:val="009052D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052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2D0"/>
    <w:rPr>
      <w:rFonts w:ascii="Segoe UI" w:eastAsia="Times New Roman" w:hAnsi="Segoe UI" w:cs="Segoe UI"/>
      <w:sz w:val="18"/>
      <w:szCs w:val="18"/>
    </w:rPr>
  </w:style>
  <w:style w:type="paragraph" w:styleId="FootnoteText">
    <w:name w:val="footnote text"/>
    <w:aliases w:val="FT"/>
    <w:basedOn w:val="Normal"/>
    <w:link w:val="FootnoteTextChar"/>
    <w:uiPriority w:val="99"/>
    <w:unhideWhenUsed/>
    <w:rsid w:val="00C32976"/>
    <w:rPr>
      <w:sz w:val="20"/>
      <w:szCs w:val="20"/>
    </w:rPr>
  </w:style>
  <w:style w:type="character" w:customStyle="1" w:styleId="FootnoteTextChar">
    <w:name w:val="Footnote Text Char"/>
    <w:aliases w:val="FT Char"/>
    <w:basedOn w:val="DefaultParagraphFont"/>
    <w:link w:val="FootnoteText"/>
    <w:uiPriority w:val="99"/>
    <w:rsid w:val="00C3297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32976"/>
    <w:rPr>
      <w:vertAlign w:val="superscript"/>
    </w:rPr>
  </w:style>
  <w:style w:type="paragraph" w:styleId="Revision">
    <w:name w:val="Revision"/>
    <w:hidden/>
    <w:uiPriority w:val="99"/>
    <w:semiHidden/>
    <w:rsid w:val="00D909A0"/>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3784E"/>
    <w:rPr>
      <w:color w:val="605E5C"/>
      <w:shd w:val="clear" w:color="auto" w:fill="E1DFDD"/>
    </w:rPr>
  </w:style>
  <w:style w:type="paragraph" w:styleId="Header">
    <w:name w:val="header"/>
    <w:basedOn w:val="Normal"/>
    <w:link w:val="HeaderChar"/>
    <w:uiPriority w:val="99"/>
    <w:unhideWhenUsed/>
    <w:rsid w:val="001E5310"/>
    <w:pPr>
      <w:tabs>
        <w:tab w:val="center" w:pos="4680"/>
        <w:tab w:val="right" w:pos="9360"/>
      </w:tabs>
    </w:pPr>
  </w:style>
  <w:style w:type="character" w:customStyle="1" w:styleId="HeaderChar">
    <w:name w:val="Header Char"/>
    <w:basedOn w:val="DefaultParagraphFont"/>
    <w:link w:val="Header"/>
    <w:uiPriority w:val="99"/>
    <w:rsid w:val="001E531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5310"/>
    <w:pPr>
      <w:tabs>
        <w:tab w:val="center" w:pos="4680"/>
        <w:tab w:val="right" w:pos="9360"/>
      </w:tabs>
    </w:pPr>
  </w:style>
  <w:style w:type="character" w:customStyle="1" w:styleId="FooterChar">
    <w:name w:val="Footer Char"/>
    <w:basedOn w:val="DefaultParagraphFont"/>
    <w:link w:val="Footer"/>
    <w:uiPriority w:val="99"/>
    <w:rsid w:val="001E5310"/>
    <w:rPr>
      <w:rFonts w:ascii="Times New Roman" w:eastAsia="Times New Roman" w:hAnsi="Times New Roman" w:cs="Times New Roman"/>
      <w:sz w:val="24"/>
      <w:szCs w:val="24"/>
    </w:rPr>
  </w:style>
  <w:style w:type="paragraph" w:styleId="NormalWeb">
    <w:name w:val="Normal (Web)"/>
    <w:basedOn w:val="Normal"/>
    <w:uiPriority w:val="99"/>
    <w:unhideWhenUsed/>
    <w:rsid w:val="00F8149A"/>
    <w:pPr>
      <w:spacing w:before="100" w:beforeAutospacing="1" w:after="100" w:afterAutospacing="1"/>
    </w:pPr>
  </w:style>
  <w:style w:type="character" w:customStyle="1" w:styleId="Heading1Char">
    <w:name w:val="Heading 1 Char"/>
    <w:basedOn w:val="DefaultParagraphFont"/>
    <w:link w:val="Heading1"/>
    <w:uiPriority w:val="9"/>
    <w:rsid w:val="00BC1C5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6" Type="http://schemas.openxmlformats.org/officeDocument/2006/relationships/hyperlink" Target="https://www.uschamber.com/workforce/data-deep-dive-the-workforce-impact-of-second-chance-hiring-3" TargetMode="External"/><Relationship Id="rId117" Type="http://schemas.openxmlformats.org/officeDocument/2006/relationships/hyperlink" Target="https://legistar.council.nyc.gov/LegislationDetail.aspx?ID=5755059&amp;GUID=1081D9A0-5626-4DE4-BB6A-142AB373A4AF&amp;Options=&amp;Search=" TargetMode="External"/><Relationship Id="rId21" Type="http://schemas.openxmlformats.org/officeDocument/2006/relationships/hyperlink" Target="https://www.nytimes.com/2022/08/09/nyregion/criminal-background-checks-nyc-housing.html" TargetMode="External"/><Relationship Id="rId42" Type="http://schemas.openxmlformats.org/officeDocument/2006/relationships/hyperlink" Target="https://www.nelp.org/app/uploads/2024/04/Research-Supports-Fair-Chance-Policies-Apr.2024.pdf" TargetMode="External"/><Relationship Id="rId47" Type="http://schemas.openxmlformats.org/officeDocument/2006/relationships/hyperlink" Target="https://www.backgroundchecks.com/blog/colorado-enacts-new-restrictions-on-tenant-background-checks" TargetMode="External"/><Relationship Id="rId63" Type="http://schemas.openxmlformats.org/officeDocument/2006/relationships/hyperlink" Target="https://www.nyc.gov/assets/cchr/downloads/pdf/publications/AnnualReport2016FINAL.pdf" TargetMode="External"/><Relationship Id="rId68" Type="http://schemas.openxmlformats.org/officeDocument/2006/relationships/hyperlink" Target="https://legistar.council.nyc.gov/LegislationDetail.aspx?ID=5755059&amp;GUID=1081D9A0-5626-4DE4-BB6A-142AB373A4AF&amp;Options=&amp;Search=" TargetMode="External"/><Relationship Id="rId84" Type="http://schemas.openxmlformats.org/officeDocument/2006/relationships/hyperlink" Target="https://www.nyc.gov/site/cchr/media/reports/annual-reports.page" TargetMode="External"/><Relationship Id="rId89" Type="http://schemas.openxmlformats.org/officeDocument/2006/relationships/hyperlink" Target="https://www.nyc.gov/site/cchr/media/reports/annual-reports.page" TargetMode="External"/><Relationship Id="rId112" Type="http://schemas.openxmlformats.org/officeDocument/2006/relationships/hyperlink" Target="https://www.nyc.gov/assets/cchr/downloads/pdf/publications/AnnualReport2025.pdf" TargetMode="External"/><Relationship Id="rId16" Type="http://schemas.openxmlformats.org/officeDocument/2006/relationships/hyperlink" Target="https://www.prisonpolicy.org/research/racial_and_ethnic_disparities/" TargetMode="External"/><Relationship Id="rId107" Type="http://schemas.openxmlformats.org/officeDocument/2006/relationships/hyperlink" Target="https://perma.cc/P3J9-BZ4E" TargetMode="External"/><Relationship Id="rId11" Type="http://schemas.openxmlformats.org/officeDocument/2006/relationships/hyperlink" Target="https://bjs.ojp.gov/library/publications/prisoners-2023-statistical-tables" TargetMode="External"/><Relationship Id="rId32" Type="http://schemas.openxmlformats.org/officeDocument/2006/relationships/hyperlink" Target="https://www.nyc.gov/site/cchr/media/fair-chance-housing-campaign.page" TargetMode="External"/><Relationship Id="rId37" Type="http://schemas.openxmlformats.org/officeDocument/2006/relationships/hyperlink" Target="https://www.washingtonpost.com/nation/2025/02/28/doge-trump-civil-rights-office-closing-eeoc/" TargetMode="External"/><Relationship Id="rId53" Type="http://schemas.openxmlformats.org/officeDocument/2006/relationships/hyperlink" Target="https://vera-institute.files.svdcdn.com/production/downloads/publications/Fair-Chance-Housing-Lessons-in-Implementation.pdf?dm=1736531593" TargetMode="External"/><Relationship Id="rId58" Type="http://schemas.openxmlformats.org/officeDocument/2006/relationships/hyperlink" Target="https://perma.cc/P3J9-BZ4E" TargetMode="External"/><Relationship Id="rId74" Type="http://schemas.openxmlformats.org/officeDocument/2006/relationships/hyperlink" Target="https://www.nyc.gov/assets/cchr/downloads/pdf/publications/2017YearEndReviewFINAL.pdf" TargetMode="External"/><Relationship Id="rId79" Type="http://schemas.openxmlformats.org/officeDocument/2006/relationships/hyperlink" Target="https://www.nyc.gov/assets/cchr/downloads/pdf/publications/2017YearEndReviewFINAL.pdf" TargetMode="External"/><Relationship Id="rId102" Type="http://schemas.openxmlformats.org/officeDocument/2006/relationships/hyperlink" Target="https://www.nyc.gov/site/cchr/enforcement/2025-settlements.page" TargetMode="External"/><Relationship Id="rId123" Type="http://schemas.openxmlformats.org/officeDocument/2006/relationships/hyperlink" Target="https://www.osc.ny.gov/press/releases/2025/12/dinapoli-housing-discrimination-complaints-languish-nyc-commission-human-rights" TargetMode="External"/><Relationship Id="rId5" Type="http://schemas.openxmlformats.org/officeDocument/2006/relationships/hyperlink" Target="https://www.vera.org/reimagining-prison-web-report/american-history-race-and-prison" TargetMode="External"/><Relationship Id="rId90" Type="http://schemas.openxmlformats.org/officeDocument/2006/relationships/hyperlink" Target="https://comptroller.nyc.gov/services/for-the-public/nyc-agency-staffing-dashboard/authorized-vs-actual-staffing-with-vacancy-rates/" TargetMode="External"/><Relationship Id="rId95" Type="http://schemas.openxmlformats.org/officeDocument/2006/relationships/hyperlink" Target="https://www.nyc.gov/assets/cchr/downloads/pdf/20180326_CCHR_Testimony.pdf" TargetMode="External"/><Relationship Id="rId22" Type="http://schemas.openxmlformats.org/officeDocument/2006/relationships/hyperlink" Target="https://www.medium.com/techequity-collaborative/its-time-to-ban-the-box-on-housing-a20889159e69" TargetMode="External"/><Relationship Id="rId27" Type="http://schemas.openxmlformats.org/officeDocument/2006/relationships/hyperlink" Target="https://www.brookings.edu/articles/a-better-path-forward-for-criminal-justice-training-and-employment-for-correctional-populations/" TargetMode="External"/><Relationship Id="rId43" Type="http://schemas.openxmlformats.org/officeDocument/2006/relationships/hyperlink" Target="https://dol.ny.gov/individuals-who-are-justice-involved" TargetMode="External"/><Relationship Id="rId48" Type="http://schemas.openxmlformats.org/officeDocument/2006/relationships/hyperlink" Target="https://www.urban.org/sites/default/files/2025-07/Final_Fair%20Chance%20Housing%20Laws%20brief.pdf" TargetMode="External"/><Relationship Id="rId64" Type="http://schemas.openxmlformats.org/officeDocument/2006/relationships/hyperlink" Target="https://www.nyc.gov/assets/cchr/downloads/pdf/publications/AnnualReport2016FINAL.pdf" TargetMode="External"/><Relationship Id="rId69" Type="http://schemas.openxmlformats.org/officeDocument/2006/relationships/hyperlink" Target="https://legistar.council.nyc.gov/LegislationDetail.aspx?ID=1739365&amp;GUID=EF70B69C-074A-4B8E-9D36-187C76BB1098&amp;Options=ID|Text|&amp;Search=63" TargetMode="External"/><Relationship Id="rId113" Type="http://schemas.openxmlformats.org/officeDocument/2006/relationships/hyperlink" Target="https://rules.cityofnewyork.us/wp-content/uploads/2025/07/FY-26-CCHR-Regulatory-Agenda.pdf" TargetMode="External"/><Relationship Id="rId118" Type="http://schemas.openxmlformats.org/officeDocument/2006/relationships/hyperlink" Target="https://static1.squarespace.com/static/585adef937c5817d231b7de1/t/646d332f762c0b04be46b523/1684878147357/Fair+Chance+for+Housing+Act+Info+Sheet.pdf" TargetMode="External"/><Relationship Id="rId80" Type="http://schemas.openxmlformats.org/officeDocument/2006/relationships/hyperlink" Target="https://www.nyc.gov/assets/cchr/downloads/pdf/publications/AnnualReport2024.pdf" TargetMode="External"/><Relationship Id="rId85" Type="http://schemas.openxmlformats.org/officeDocument/2006/relationships/hyperlink" Target="https://www.nyc.gov/site/cchr/media/reports/annual-reports.page" TargetMode="External"/><Relationship Id="rId12" Type="http://schemas.openxmlformats.org/officeDocument/2006/relationships/hyperlink" Target="https://www.prisonstudies.org/world-prison-data/highest-lowest/highest-lowest-prison-population-total?field_region_taxonomy_tid=All" TargetMode="External"/><Relationship Id="rId17" Type="http://schemas.openxmlformats.org/officeDocument/2006/relationships/hyperlink" Target="https://www.sentencingproject.org/app/uploads/2022/08/Americans-with-Criminal-Records-Poverty-and-Opportunity-Profile.pdf" TargetMode="External"/><Relationship Id="rId33" Type="http://schemas.openxmlformats.org/officeDocument/2006/relationships/hyperlink" Target="https://dol.ny.gov/individuals-who-are-justice-involved" TargetMode="External"/><Relationship Id="rId38" Type="http://schemas.openxmlformats.org/officeDocument/2006/relationships/hyperlink" Target="https://www.americanbar.org/groups/crsj/resources/human-rights/2025-october/state-local-responses-health-agencies/" TargetMode="External"/><Relationship Id="rId59" Type="http://schemas.openxmlformats.org/officeDocument/2006/relationships/hyperlink" Target="https://www.nyc.gov/assets/cchr/downloads/pdf/publications/AnnualReport2016FINAL.pdf" TargetMode="External"/><Relationship Id="rId103" Type="http://schemas.openxmlformats.org/officeDocument/2006/relationships/hyperlink" Target="https://legistar.council.nyc.gov/LegislationDetail.aspx?ID=5755059&amp;GUID=1081D9A0-5626-4DE4-BB6A-142AB373A4AF&amp;Options=&amp;Search=" TargetMode="External"/><Relationship Id="rId108" Type="http://schemas.openxmlformats.org/officeDocument/2006/relationships/hyperlink" Target="https://www.nyc.gov/assets/cchr/downloads/pdf/publications/FairChanceHousing-Notice.pdf" TargetMode="External"/><Relationship Id="rId124" Type="http://schemas.openxmlformats.org/officeDocument/2006/relationships/hyperlink" Target="https://comptroller.nyc.gov/services/for-the-public/nyc-agency-staffing-dashboard/authorized-vs-actual-staffing-with-vacancy-rates/" TargetMode="External"/><Relationship Id="rId54" Type="http://schemas.openxmlformats.org/officeDocument/2006/relationships/hyperlink" Target="https://www.urban.org/sites/default/files/2025-07/Final_Fair%20Chance%20Housing%20Laws%20brief.pdf" TargetMode="External"/><Relationship Id="rId70" Type="http://schemas.openxmlformats.org/officeDocument/2006/relationships/hyperlink" Target="https://perma.cc/P3J9-BZ4E" TargetMode="External"/><Relationship Id="rId75" Type="http://schemas.openxmlformats.org/officeDocument/2006/relationships/hyperlink" Target="https://perma.cc/P3J9-BZ4E" TargetMode="External"/><Relationship Id="rId91" Type="http://schemas.openxmlformats.org/officeDocument/2006/relationships/hyperlink" Target="https://www.nyc.gov/site/cchr/media/reports/annual-reports.page" TargetMode="External"/><Relationship Id="rId96" Type="http://schemas.openxmlformats.org/officeDocument/2006/relationships/hyperlink" Target="https://www.nyc.gov/assets/cchr/downloads/pdf/publications/AnnualReport2024.pdf" TargetMode="External"/><Relationship Id="rId1" Type="http://schemas.openxmlformats.org/officeDocument/2006/relationships/hyperlink" Target="https://www.vera.org/reimagining-prison-web-report/american-history-race-and-prison" TargetMode="External"/><Relationship Id="rId6" Type="http://schemas.openxmlformats.org/officeDocument/2006/relationships/hyperlink" Target="https://www.brennancenter.org/our-work/analysis-opinion/history-mass-incarceration" TargetMode="External"/><Relationship Id="rId23" Type="http://schemas.openxmlformats.org/officeDocument/2006/relationships/hyperlink" Target="https://repository.upenn.edu/spp_papers/61" TargetMode="External"/><Relationship Id="rId28" Type="http://schemas.openxmlformats.org/officeDocument/2006/relationships/hyperlink" Target="https://www.uschamber.com/workforce/data-deep-dive-the-workforce-impact-of-second-chance-hiring-3" TargetMode="External"/><Relationship Id="rId49" Type="http://schemas.openxmlformats.org/officeDocument/2006/relationships/hyperlink" Target="https://www.urban.org/sites/default/files/2025-07/Final_Fair%20Chance%20Housing%20Laws%20brief.pdf" TargetMode="External"/><Relationship Id="rId114" Type="http://schemas.openxmlformats.org/officeDocument/2006/relationships/hyperlink" Target="https://rules.cityofnewyork.us/view-agency-regulatory-agendas/" TargetMode="External"/><Relationship Id="rId119" Type="http://schemas.openxmlformats.org/officeDocument/2006/relationships/hyperlink" Target="https://comptroller.nyc.gov/services/for-the-public/nyc-agency-staffing-dashboard/authorized-vs-actual-staffing-with-vacancy-rates/" TargetMode="External"/><Relationship Id="rId44" Type="http://schemas.openxmlformats.org/officeDocument/2006/relationships/hyperlink" Target="https://www.huduser.gov/portal/pdredge/pdr-edge-frm-asst-sec-051722.html" TargetMode="External"/><Relationship Id="rId60" Type="http://schemas.openxmlformats.org/officeDocument/2006/relationships/hyperlink" Target="https://www.nyc.gov/assets/cchr/downloads/pdf/publications/2017YearEndReviewFINAL.pdf" TargetMode="External"/><Relationship Id="rId65" Type="http://schemas.openxmlformats.org/officeDocument/2006/relationships/hyperlink" Target="https://perma.cc/P3J9-BZ4E" TargetMode="External"/><Relationship Id="rId81" Type="http://schemas.openxmlformats.org/officeDocument/2006/relationships/hyperlink" Target="https://www.nyc.gov/assets/cchr/downloads/pdf/publications/AnnualReport2025.pdf" TargetMode="External"/><Relationship Id="rId86" Type="http://schemas.openxmlformats.org/officeDocument/2006/relationships/hyperlink" Target="https://www.nyc.gov/site/cchr/media/reports/annual-reports.page" TargetMode="External"/><Relationship Id="rId13" Type="http://schemas.openxmlformats.org/officeDocument/2006/relationships/hyperlink" Target="https://www.nhlp.org/wp-content/uploads/021320_NHLP_FairChance_Final.pdf" TargetMode="External"/><Relationship Id="rId18" Type="http://schemas.openxmlformats.org/officeDocument/2006/relationships/hyperlink" Target="https://www.prisonpolicy.org/profiles/NY.html" TargetMode="External"/><Relationship Id="rId39" Type="http://schemas.openxmlformats.org/officeDocument/2006/relationships/hyperlink" Target="https://www.urban.org/sites/default/files/2025-07/Final_Fair%20Chance%20Housing%20Laws%20brief.pdf" TargetMode="External"/><Relationship Id="rId109" Type="http://schemas.openxmlformats.org/officeDocument/2006/relationships/hyperlink" Target="https://www.nyc.gov/site/cchr/media/posters.page" TargetMode="External"/><Relationship Id="rId34" Type="http://schemas.openxmlformats.org/officeDocument/2006/relationships/hyperlink" Target="https://www.eeoc.gov/arrestandconviction" TargetMode="External"/><Relationship Id="rId50" Type="http://schemas.openxmlformats.org/officeDocument/2006/relationships/hyperlink" Target="https://vera-institute.files.svdcdn.com/production/downloads/publications/Fair-Chance-Housing-Lessons-in-Implementation.pdf?dm=1736531593" TargetMode="External"/><Relationship Id="rId55" Type="http://schemas.openxmlformats.org/officeDocument/2006/relationships/hyperlink" Target="https://vera-institute.files.svdcdn.com/production/downloads/publications/Fair-Chance-Housing-Lessons-in-Implementation.pdf?dm=1736531593" TargetMode="External"/><Relationship Id="rId76" Type="http://schemas.openxmlformats.org/officeDocument/2006/relationships/hyperlink" Target="https://www.nelp.org/blog/two-years-of-new-york-citys-fair-chance-act-fromrobust-legislation-to-effective-enforcement/" TargetMode="External"/><Relationship Id="rId97" Type="http://schemas.openxmlformats.org/officeDocument/2006/relationships/hyperlink" Target="https://www.nyc.gov/assets/cchr/downloads/pdf/publications/AnnualReport2025.pdf" TargetMode="External"/><Relationship Id="rId104" Type="http://schemas.openxmlformats.org/officeDocument/2006/relationships/hyperlink" Target="https://www.nyc.gov/assets/cchr/downloads/pdf/publications/AnnualReport2025.pdf" TargetMode="External"/><Relationship Id="rId120" Type="http://schemas.openxmlformats.org/officeDocument/2006/relationships/hyperlink" Target="https://www.nyc.gov/content/omb/pages/publications/fy2026-2030-preliminary-budget" TargetMode="External"/><Relationship Id="rId125" Type="http://schemas.openxmlformats.org/officeDocument/2006/relationships/hyperlink" Target="https://www.osc.ny.gov/press/releases/2025/12/dinapoli-housing-discrimination-complaints-languish-nyc-commission-human-rights" TargetMode="External"/><Relationship Id="rId7" Type="http://schemas.openxmlformats.org/officeDocument/2006/relationships/hyperlink" Target="https://www.brennancenter.org/our-work/analysis-opinion/history-mass-incarceration" TargetMode="External"/><Relationship Id="rId71" Type="http://schemas.openxmlformats.org/officeDocument/2006/relationships/hyperlink" Target="https://www.nyc.gov/assets/cchr/downloads/pdf/publications/AnnualReport2016FINAL.pdf" TargetMode="External"/><Relationship Id="rId92" Type="http://schemas.openxmlformats.org/officeDocument/2006/relationships/hyperlink" Target="https://www.nyc.gov/site/cchr/media/reports/annual-reports.page" TargetMode="External"/><Relationship Id="rId2" Type="http://schemas.openxmlformats.org/officeDocument/2006/relationships/hyperlink" Target="https://www.vera.org/reimagining-prison-web-report/american-history-race-and-prison" TargetMode="External"/><Relationship Id="rId29" Type="http://schemas.openxmlformats.org/officeDocument/2006/relationships/hyperlink" Target="https://www.huduser.gov/portal/periodicals/cityscpe/vol15num3/ch3.pdf" TargetMode="External"/><Relationship Id="rId24" Type="http://schemas.openxmlformats.org/officeDocument/2006/relationships/hyperlink" Target="https://tminstituteldf.org/criminal-background-checks-housing-barrier/" TargetMode="External"/><Relationship Id="rId40" Type="http://schemas.openxmlformats.org/officeDocument/2006/relationships/hyperlink" Target="https://scholarship.law.edu/lawreview/vol72/iss4/9/" TargetMode="External"/><Relationship Id="rId45" Type="http://schemas.openxmlformats.org/officeDocument/2006/relationships/hyperlink" Target="https://www.rentmanager.com/ban-the-box-and-beyond-how-to-comply-with-state-laws-and-local-ordinances/" TargetMode="External"/><Relationship Id="rId66" Type="http://schemas.openxmlformats.org/officeDocument/2006/relationships/hyperlink" Target="https://perma.cc/P3J9-BZ4E" TargetMode="External"/><Relationship Id="rId87" Type="http://schemas.openxmlformats.org/officeDocument/2006/relationships/hyperlink" Target="https://www.nyc.gov/site/cchr/media/reports/annual-reports.page" TargetMode="External"/><Relationship Id="rId110" Type="http://schemas.openxmlformats.org/officeDocument/2006/relationships/hyperlink" Target="https://www.nyc.gov/site/cchr/media/publications.page" TargetMode="External"/><Relationship Id="rId115" Type="http://schemas.openxmlformats.org/officeDocument/2006/relationships/hyperlink" Target="https://www.nyc.gov/assets/cchr/downloads/pdf/publications/AnnualReport2025.pdf" TargetMode="External"/><Relationship Id="rId61" Type="http://schemas.openxmlformats.org/officeDocument/2006/relationships/hyperlink" Target="https://www.nyc.gov/assets/cchr/downloads/pdf/publications/AnnualReport2016FINAL.pdf" TargetMode="External"/><Relationship Id="rId82" Type="http://schemas.openxmlformats.org/officeDocument/2006/relationships/hyperlink" Target="https://www.nyc.gov/assets/cchr/downloads/pdf/publications/AnnualReport2024.pdf" TargetMode="External"/><Relationship Id="rId19" Type="http://schemas.openxmlformats.org/officeDocument/2006/relationships/hyperlink" Target="https://www.prisonpolicy.org/profiles/NY.html" TargetMode="External"/><Relationship Id="rId14" Type="http://schemas.openxmlformats.org/officeDocument/2006/relationships/hyperlink" Target="https://www.prisonpolicy.org/research/racial_and_ethnic_disparities/" TargetMode="External"/><Relationship Id="rId30" Type="http://schemas.openxmlformats.org/officeDocument/2006/relationships/hyperlink" Target="https://www.vera.org/downloads/Publications/the-first-month-out-post-incarceration-experiences-in-new-york-city/legacy_downloads/first_month_out.pdf" TargetMode="External"/><Relationship Id="rId35" Type="http://schemas.openxmlformats.org/officeDocument/2006/relationships/hyperlink" Target="https://tminstituteldf.org/criminal-background-checks-housing-barrier/" TargetMode="External"/><Relationship Id="rId56" Type="http://schemas.openxmlformats.org/officeDocument/2006/relationships/hyperlink" Target="https://vera-institute.files.svdcdn.com/production/downloads/publications/Fair-Chance-Housing-Lessons-in-Implementation.pdf?dm=1736531593" TargetMode="External"/><Relationship Id="rId77" Type="http://schemas.openxmlformats.org/officeDocument/2006/relationships/hyperlink" Target="https://hrlr.law.columbia.edu/files/2020/02/51.2.3-Kaur-and-Sussman.pdf" TargetMode="External"/><Relationship Id="rId100" Type="http://schemas.openxmlformats.org/officeDocument/2006/relationships/hyperlink" Target="https://www.nyc.gov/assets/cchr/downloads/pdf/publications/AnnualReport2024.pdf" TargetMode="External"/><Relationship Id="rId105" Type="http://schemas.openxmlformats.org/officeDocument/2006/relationships/hyperlink" Target="https://www.nyc.gov/assets/cchr/downloads/pdf/publications/AnnualReport2025.pdf" TargetMode="External"/><Relationship Id="rId8" Type="http://schemas.openxmlformats.org/officeDocument/2006/relationships/hyperlink" Target="https://www.brennancenter.org/our-work/analysis-opinion/history-mass-incarceration" TargetMode="External"/><Relationship Id="rId51" Type="http://schemas.openxmlformats.org/officeDocument/2006/relationships/hyperlink" Target="https://www.urban.org/sites/default/files/2025-07/Final_Fair%20Chance%20Housing%20Laws%20brief.pdf" TargetMode="External"/><Relationship Id="rId72" Type="http://schemas.openxmlformats.org/officeDocument/2006/relationships/hyperlink" Target="https://perma.cc/P3J9-BZ4E" TargetMode="External"/><Relationship Id="rId93" Type="http://schemas.openxmlformats.org/officeDocument/2006/relationships/hyperlink" Target="https://irle.berkeley.edu/wp-content/uploads/2022/03/The-Limits-of-Ban-the-Box-Legislation-1.pdf" TargetMode="External"/><Relationship Id="rId98" Type="http://schemas.openxmlformats.org/officeDocument/2006/relationships/hyperlink" Target="https://www.nyc.gov/assets/cchr/downloads/pdf/publications/AnnualReport2024.pdf" TargetMode="External"/><Relationship Id="rId121" Type="http://schemas.openxmlformats.org/officeDocument/2006/relationships/hyperlink" Target="https://www.osc.ny.gov/press/releases/2025/12/dinapoli-housing-discrimination-complaints-languish-nyc-commission-human-rights" TargetMode="External"/><Relationship Id="rId3" Type="http://schemas.openxmlformats.org/officeDocument/2006/relationships/hyperlink" Target="https://www.vera.org/reimagining-prison-web-report/american-history-race-and-prison" TargetMode="External"/><Relationship Id="rId25" Type="http://schemas.openxmlformats.org/officeDocument/2006/relationships/hyperlink" Target="https://whopaysreport.org/wp-content/uploads/2015/09/Who-Pays-FINAL.pdf" TargetMode="External"/><Relationship Id="rId46" Type="http://schemas.openxmlformats.org/officeDocument/2006/relationships/hyperlink" Target="https://www.njoag.gov/wp-content/uploads/2021/12/Fair-Chance-in-Housing-Act_NJSA-46-8-52-et-seq.pdf" TargetMode="External"/><Relationship Id="rId67" Type="http://schemas.openxmlformats.org/officeDocument/2006/relationships/hyperlink" Target="https://www.certiphi.com/resource-center/compliance-services/nyc-employers-ensure-compliance-with-the-fair-chance-act/" TargetMode="External"/><Relationship Id="rId116" Type="http://schemas.openxmlformats.org/officeDocument/2006/relationships/hyperlink" Target="https://legistar.council.nyc.gov/LegislationDetail.aspx?ID=7929723&amp;GUID=AE7506FD-531C-468B-A7CC-EC5446E34DD0&amp;Options=&amp;Search=" TargetMode="External"/><Relationship Id="rId20" Type="http://schemas.openxmlformats.org/officeDocument/2006/relationships/hyperlink" Target="https://www.sentencingproject.org/app/uploads/2022/08/Americans-with-Criminal-Records-Poverty-and-Opportunity-Profile.pdf" TargetMode="External"/><Relationship Id="rId41" Type="http://schemas.openxmlformats.org/officeDocument/2006/relationships/hyperlink" Target="https://www.nelp.org/insights-research/ban-the-box-fair-chance-hiring-state-and-local-guide/" TargetMode="External"/><Relationship Id="rId62" Type="http://schemas.openxmlformats.org/officeDocument/2006/relationships/hyperlink" Target="https://www.nyc.gov/assets/cchr/downloads/pdf/publications/AnnualReport2016FINAL.pdf" TargetMode="External"/><Relationship Id="rId83" Type="http://schemas.openxmlformats.org/officeDocument/2006/relationships/hyperlink" Target="https://www.nyc.gov/assets/cchr/downloads/pdf/publications/AnnualReport2025.pdf" TargetMode="External"/><Relationship Id="rId88" Type="http://schemas.openxmlformats.org/officeDocument/2006/relationships/hyperlink" Target="https://www.osc.ny.gov/press/releases/2025/12/dinapoli-housing-discrimination-complaints-languish-nyc-commission-human-rights" TargetMode="External"/><Relationship Id="rId111" Type="http://schemas.openxmlformats.org/officeDocument/2006/relationships/hyperlink" Target="https://www.nyc.gov/site/cchr/media/materials.page" TargetMode="External"/><Relationship Id="rId15" Type="http://schemas.openxmlformats.org/officeDocument/2006/relationships/hyperlink" Target="https://www.prisonpolicy.org/research/racial_and_ethnic_disparities/" TargetMode="External"/><Relationship Id="rId36" Type="http://schemas.openxmlformats.org/officeDocument/2006/relationships/hyperlink" Target="https://tminstituteldf.org/criminal-background-checks-housing-barrier/" TargetMode="External"/><Relationship Id="rId57" Type="http://schemas.openxmlformats.org/officeDocument/2006/relationships/hyperlink" Target="https://www.nyc.gov/assets/cchr/downloads/pdf/publications/AnnualReport2016FINAL.pdf" TargetMode="External"/><Relationship Id="rId106" Type="http://schemas.openxmlformats.org/officeDocument/2006/relationships/hyperlink" Target="https://www.nyc.gov/assets/cchr/downloads/pdf/publications/AnnualReport2025.pdf" TargetMode="External"/><Relationship Id="rId10" Type="http://schemas.openxmlformats.org/officeDocument/2006/relationships/hyperlink" Target="https://www.sentencingproject.org/policy-brief/americas-incarceration-crossroads-reversing-progress-amid-record-low-crime-rates/" TargetMode="External"/><Relationship Id="rId31" Type="http://schemas.openxmlformats.org/officeDocument/2006/relationships/hyperlink" Target="https://www.nyc.gov/site/cchr/media/fair-chance-act-campaign.page" TargetMode="External"/><Relationship Id="rId52" Type="http://schemas.openxmlformats.org/officeDocument/2006/relationships/hyperlink" Target="https://www.urban.org/sites/default/files/2025-07/Final_Fair%20Chance%20Housing%20Laws%20brief.pdf" TargetMode="External"/><Relationship Id="rId73" Type="http://schemas.openxmlformats.org/officeDocument/2006/relationships/hyperlink" Target="https://www.nyc.gov/assets/cchr/downloads/pdf/publications/AnnualReport2016FINAL.pdf" TargetMode="External"/><Relationship Id="rId78" Type="http://schemas.openxmlformats.org/officeDocument/2006/relationships/hyperlink" Target="https://www.nyc.gov/assets/cchr/downloads/pdf/publications/AnnualReport2016FINAL.pdf" TargetMode="External"/><Relationship Id="rId94" Type="http://schemas.openxmlformats.org/officeDocument/2006/relationships/hyperlink" Target="https://www.nyc.gov/assets/cchr/downloads/pdf/publications/AnnualReport2023.pdf" TargetMode="External"/><Relationship Id="rId99" Type="http://schemas.openxmlformats.org/officeDocument/2006/relationships/hyperlink" Target="https://www.nyc.gov/assets/cchr/downloads/pdf/publications/AnnualReport2025.pdf" TargetMode="External"/><Relationship Id="rId101" Type="http://schemas.openxmlformats.org/officeDocument/2006/relationships/hyperlink" Target="https://www.nyc.gov/site/cchr/enforcement/2024-settlements.page" TargetMode="External"/><Relationship Id="rId122" Type="http://schemas.openxmlformats.org/officeDocument/2006/relationships/hyperlink" Target="https://www.nyc.gov/assets/records/pdf/executive_orders/2008EO115.pdf" TargetMode="External"/><Relationship Id="rId4" Type="http://schemas.openxmlformats.org/officeDocument/2006/relationships/hyperlink" Target="https://criticalresistance.org/mission-vision/not-so-common-language/" TargetMode="External"/><Relationship Id="rId9" Type="http://schemas.openxmlformats.org/officeDocument/2006/relationships/hyperlink" Target="https://www.factcheck.org/2016/04/bill-clinton-and-the-1994-crime-bi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3f91102-599e-47b2-9608-3027880c733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4809E415ACD146BB2395ED0A2CA121" ma:contentTypeVersion="15" ma:contentTypeDescription="Create a new document." ma:contentTypeScope="" ma:versionID="9882e8764ad6f163d60b2aa202e4c7a0">
  <xsd:schema xmlns:xsd="http://www.w3.org/2001/XMLSchema" xmlns:xs="http://www.w3.org/2001/XMLSchema" xmlns:p="http://schemas.microsoft.com/office/2006/metadata/properties" xmlns:ns3="de1fb56a-d26d-4994-8dcc-d1efeb47e55b" xmlns:ns4="a3f91102-599e-47b2-9608-3027880c7332" targetNamespace="http://schemas.microsoft.com/office/2006/metadata/properties" ma:root="true" ma:fieldsID="dcd5fc314dcb4374839d55f6c11c7c36" ns3:_="" ns4:_="">
    <xsd:import namespace="de1fb56a-d26d-4994-8dcc-d1efeb47e55b"/>
    <xsd:import namespace="a3f91102-599e-47b2-9608-3027880c733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1fb56a-d26d-4994-8dcc-d1efeb47e5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91102-599e-47b2-9608-3027880c73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B6666-8E3B-4EEB-A3A2-7468346E3DFF}">
  <ds:schemaRefs>
    <ds:schemaRef ds:uri="http://schemas.microsoft.com/sharepoint/v3/contenttype/forms"/>
  </ds:schemaRefs>
</ds:datastoreItem>
</file>

<file path=customXml/itemProps2.xml><?xml version="1.0" encoding="utf-8"?>
<ds:datastoreItem xmlns:ds="http://schemas.openxmlformats.org/officeDocument/2006/customXml" ds:itemID="{8A50D006-7B66-4186-AAF3-77F2E6A048F3}">
  <ds:schemaRefs>
    <ds:schemaRef ds:uri="http://schemas.openxmlformats.org/officeDocument/2006/bibliography"/>
  </ds:schemaRefs>
</ds:datastoreItem>
</file>

<file path=customXml/itemProps3.xml><?xml version="1.0" encoding="utf-8"?>
<ds:datastoreItem xmlns:ds="http://schemas.openxmlformats.org/officeDocument/2006/customXml" ds:itemID="{C8937DFC-231E-4405-982B-41329368AF91}">
  <ds:schemaRefs>
    <ds:schemaRef ds:uri="http://schemas.microsoft.com/office/2006/metadata/properties"/>
    <ds:schemaRef ds:uri="http://schemas.microsoft.com/office/infopath/2007/PartnerControls"/>
    <ds:schemaRef ds:uri="a3f91102-599e-47b2-9608-3027880c7332"/>
  </ds:schemaRefs>
</ds:datastoreItem>
</file>

<file path=customXml/itemProps4.xml><?xml version="1.0" encoding="utf-8"?>
<ds:datastoreItem xmlns:ds="http://schemas.openxmlformats.org/officeDocument/2006/customXml" ds:itemID="{7CE5CF91-7578-4F03-AE05-0C3355F1E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1fb56a-d26d-4994-8dcc-d1efeb47e55b"/>
    <ds:schemaRef ds:uri="a3f91102-599e-47b2-9608-3027880c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4825</Words>
  <Characters>27504</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32265</CharactersWithSpaces>
  <SharedDoc>false</SharedDoc>
  <HLinks>
    <vt:vector size="696" baseType="variant">
      <vt:variant>
        <vt:i4>5963800</vt:i4>
      </vt:variant>
      <vt:variant>
        <vt:i4>342</vt:i4>
      </vt:variant>
      <vt:variant>
        <vt:i4>0</vt:i4>
      </vt:variant>
      <vt:variant>
        <vt:i4>5</vt:i4>
      </vt:variant>
      <vt:variant>
        <vt:lpwstr>https://www.nyc.gov/content/omb/pages/publications/fy2026-2030-preliminary-budget</vt:lpwstr>
      </vt:variant>
      <vt:variant>
        <vt:lpwstr/>
      </vt:variant>
      <vt:variant>
        <vt:i4>2555946</vt:i4>
      </vt:variant>
      <vt:variant>
        <vt:i4>339</vt:i4>
      </vt:variant>
      <vt:variant>
        <vt:i4>0</vt:i4>
      </vt:variant>
      <vt:variant>
        <vt:i4>5</vt:i4>
      </vt:variant>
      <vt:variant>
        <vt:lpwstr>https://comptroller.nyc.gov/services/for-the-public/nyc-agency-staffing-dashboard/authorized-vs-actual-staffing-with-vacancy-rates/</vt:lpwstr>
      </vt:variant>
      <vt:variant>
        <vt:lpwstr/>
      </vt:variant>
      <vt:variant>
        <vt:i4>6750314</vt:i4>
      </vt:variant>
      <vt:variant>
        <vt:i4>336</vt:i4>
      </vt:variant>
      <vt:variant>
        <vt:i4>0</vt:i4>
      </vt:variant>
      <vt:variant>
        <vt:i4>5</vt:i4>
      </vt:variant>
      <vt:variant>
        <vt:lpwstr>https://static1.squarespace.com/static/585adef937c5817d231b7de1/t/646d332f762c0b04be46b523/1684878147357/Fair+Chance+for+Housing+Act+Info+Sheet.pdf</vt:lpwstr>
      </vt:variant>
      <vt:variant>
        <vt:lpwstr/>
      </vt:variant>
      <vt:variant>
        <vt:i4>4849728</vt:i4>
      </vt:variant>
      <vt:variant>
        <vt:i4>333</vt:i4>
      </vt:variant>
      <vt:variant>
        <vt:i4>0</vt:i4>
      </vt:variant>
      <vt:variant>
        <vt:i4>5</vt:i4>
      </vt:variant>
      <vt:variant>
        <vt:lpwstr>https://legistar.council.nyc.gov/LegislationDetail.aspx?ID=5755059&amp;GUID=1081D9A0-5626-4DE4-BB6A-142AB373A4AF&amp;Options=&amp;Search=</vt:lpwstr>
      </vt:variant>
      <vt:variant>
        <vt:lpwstr/>
      </vt:variant>
      <vt:variant>
        <vt:i4>1572884</vt:i4>
      </vt:variant>
      <vt:variant>
        <vt:i4>330</vt:i4>
      </vt:variant>
      <vt:variant>
        <vt:i4>0</vt:i4>
      </vt:variant>
      <vt:variant>
        <vt:i4>5</vt:i4>
      </vt:variant>
      <vt:variant>
        <vt:lpwstr>https://legistar.council.nyc.gov/LegislationDetail.aspx?ID=7929723&amp;GUID=AE7506FD-531C-468B-A7CC-EC5446E34DD0&amp;Options=&amp;Search=</vt:lpwstr>
      </vt:variant>
      <vt:variant>
        <vt:lpwstr/>
      </vt:variant>
      <vt:variant>
        <vt:i4>3538993</vt:i4>
      </vt:variant>
      <vt:variant>
        <vt:i4>327</vt:i4>
      </vt:variant>
      <vt:variant>
        <vt:i4>0</vt:i4>
      </vt:variant>
      <vt:variant>
        <vt:i4>5</vt:i4>
      </vt:variant>
      <vt:variant>
        <vt:lpwstr>https://www.nyc.gov/assets/cchr/downloads/pdf/publications/AnnualReport2025.pdf</vt:lpwstr>
      </vt:variant>
      <vt:variant>
        <vt:lpwstr/>
      </vt:variant>
      <vt:variant>
        <vt:i4>3538993</vt:i4>
      </vt:variant>
      <vt:variant>
        <vt:i4>324</vt:i4>
      </vt:variant>
      <vt:variant>
        <vt:i4>0</vt:i4>
      </vt:variant>
      <vt:variant>
        <vt:i4>5</vt:i4>
      </vt:variant>
      <vt:variant>
        <vt:lpwstr>https://www.nyc.gov/assets/cchr/downloads/pdf/publications/AnnualReport2025.pdf</vt:lpwstr>
      </vt:variant>
      <vt:variant>
        <vt:lpwstr/>
      </vt:variant>
      <vt:variant>
        <vt:i4>8323171</vt:i4>
      </vt:variant>
      <vt:variant>
        <vt:i4>321</vt:i4>
      </vt:variant>
      <vt:variant>
        <vt:i4>0</vt:i4>
      </vt:variant>
      <vt:variant>
        <vt:i4>5</vt:i4>
      </vt:variant>
      <vt:variant>
        <vt:lpwstr>https://www.nyc.gov/site/cchr/media/materials.page</vt:lpwstr>
      </vt:variant>
      <vt:variant>
        <vt:lpwstr/>
      </vt:variant>
      <vt:variant>
        <vt:i4>5308511</vt:i4>
      </vt:variant>
      <vt:variant>
        <vt:i4>318</vt:i4>
      </vt:variant>
      <vt:variant>
        <vt:i4>0</vt:i4>
      </vt:variant>
      <vt:variant>
        <vt:i4>5</vt:i4>
      </vt:variant>
      <vt:variant>
        <vt:lpwstr>https://www.nyc.gov/site/cchr/media/publications.page</vt:lpwstr>
      </vt:variant>
      <vt:variant>
        <vt:lpwstr/>
      </vt:variant>
      <vt:variant>
        <vt:i4>1507343</vt:i4>
      </vt:variant>
      <vt:variant>
        <vt:i4>315</vt:i4>
      </vt:variant>
      <vt:variant>
        <vt:i4>0</vt:i4>
      </vt:variant>
      <vt:variant>
        <vt:i4>5</vt:i4>
      </vt:variant>
      <vt:variant>
        <vt:lpwstr>https://www.nyc.gov/site/cchr/media/posters.page</vt:lpwstr>
      </vt:variant>
      <vt:variant>
        <vt:lpwstr/>
      </vt:variant>
      <vt:variant>
        <vt:i4>2883697</vt:i4>
      </vt:variant>
      <vt:variant>
        <vt:i4>312</vt:i4>
      </vt:variant>
      <vt:variant>
        <vt:i4>0</vt:i4>
      </vt:variant>
      <vt:variant>
        <vt:i4>5</vt:i4>
      </vt:variant>
      <vt:variant>
        <vt:lpwstr>https://www.nyc.gov/assets/cchr/downloads/pdf/publications/FairChanceHousing-Notice.pdf</vt:lpwstr>
      </vt:variant>
      <vt:variant>
        <vt:lpwstr/>
      </vt:variant>
      <vt:variant>
        <vt:i4>8126515</vt:i4>
      </vt:variant>
      <vt:variant>
        <vt:i4>309</vt:i4>
      </vt:variant>
      <vt:variant>
        <vt:i4>0</vt:i4>
      </vt:variant>
      <vt:variant>
        <vt:i4>5</vt:i4>
      </vt:variant>
      <vt:variant>
        <vt:lpwstr>https://perma.cc/P3J9-BZ4E</vt:lpwstr>
      </vt:variant>
      <vt:variant>
        <vt:lpwstr/>
      </vt:variant>
      <vt:variant>
        <vt:i4>3538993</vt:i4>
      </vt:variant>
      <vt:variant>
        <vt:i4>306</vt:i4>
      </vt:variant>
      <vt:variant>
        <vt:i4>0</vt:i4>
      </vt:variant>
      <vt:variant>
        <vt:i4>5</vt:i4>
      </vt:variant>
      <vt:variant>
        <vt:lpwstr>https://www.nyc.gov/assets/cchr/downloads/pdf/publications/AnnualReport2025.pdf</vt:lpwstr>
      </vt:variant>
      <vt:variant>
        <vt:lpwstr/>
      </vt:variant>
      <vt:variant>
        <vt:i4>3538993</vt:i4>
      </vt:variant>
      <vt:variant>
        <vt:i4>303</vt:i4>
      </vt:variant>
      <vt:variant>
        <vt:i4>0</vt:i4>
      </vt:variant>
      <vt:variant>
        <vt:i4>5</vt:i4>
      </vt:variant>
      <vt:variant>
        <vt:lpwstr>https://www.nyc.gov/assets/cchr/downloads/pdf/publications/AnnualReport2025.pdf</vt:lpwstr>
      </vt:variant>
      <vt:variant>
        <vt:lpwstr/>
      </vt:variant>
      <vt:variant>
        <vt:i4>3538993</vt:i4>
      </vt:variant>
      <vt:variant>
        <vt:i4>300</vt:i4>
      </vt:variant>
      <vt:variant>
        <vt:i4>0</vt:i4>
      </vt:variant>
      <vt:variant>
        <vt:i4>5</vt:i4>
      </vt:variant>
      <vt:variant>
        <vt:lpwstr>https://www.nyc.gov/assets/cchr/downloads/pdf/publications/AnnualReport2025.pdf</vt:lpwstr>
      </vt:variant>
      <vt:variant>
        <vt:lpwstr/>
      </vt:variant>
      <vt:variant>
        <vt:i4>4849728</vt:i4>
      </vt:variant>
      <vt:variant>
        <vt:i4>297</vt:i4>
      </vt:variant>
      <vt:variant>
        <vt:i4>0</vt:i4>
      </vt:variant>
      <vt:variant>
        <vt:i4>5</vt:i4>
      </vt:variant>
      <vt:variant>
        <vt:lpwstr>https://legistar.council.nyc.gov/LegislationDetail.aspx?ID=5755059&amp;GUID=1081D9A0-5626-4DE4-BB6A-142AB373A4AF&amp;Options=&amp;Search=</vt:lpwstr>
      </vt:variant>
      <vt:variant>
        <vt:lpwstr/>
      </vt:variant>
      <vt:variant>
        <vt:i4>3145831</vt:i4>
      </vt:variant>
      <vt:variant>
        <vt:i4>294</vt:i4>
      </vt:variant>
      <vt:variant>
        <vt:i4>0</vt:i4>
      </vt:variant>
      <vt:variant>
        <vt:i4>5</vt:i4>
      </vt:variant>
      <vt:variant>
        <vt:lpwstr>https://www.nyc.gov/site/cchr/enforcement/2025-settlements.page</vt:lpwstr>
      </vt:variant>
      <vt:variant>
        <vt:lpwstr/>
      </vt:variant>
      <vt:variant>
        <vt:i4>3211367</vt:i4>
      </vt:variant>
      <vt:variant>
        <vt:i4>291</vt:i4>
      </vt:variant>
      <vt:variant>
        <vt:i4>0</vt:i4>
      </vt:variant>
      <vt:variant>
        <vt:i4>5</vt:i4>
      </vt:variant>
      <vt:variant>
        <vt:lpwstr>https://www.nyc.gov/site/cchr/enforcement/2024-settlements.page</vt:lpwstr>
      </vt:variant>
      <vt:variant>
        <vt:lpwstr/>
      </vt:variant>
      <vt:variant>
        <vt:i4>3538992</vt:i4>
      </vt:variant>
      <vt:variant>
        <vt:i4>288</vt:i4>
      </vt:variant>
      <vt:variant>
        <vt:i4>0</vt:i4>
      </vt:variant>
      <vt:variant>
        <vt:i4>5</vt:i4>
      </vt:variant>
      <vt:variant>
        <vt:lpwstr>https://www.nyc.gov/assets/cchr/downloads/pdf/publications/AnnualReport2024.pdf</vt:lpwstr>
      </vt:variant>
      <vt:variant>
        <vt:lpwstr/>
      </vt:variant>
      <vt:variant>
        <vt:i4>3538993</vt:i4>
      </vt:variant>
      <vt:variant>
        <vt:i4>285</vt:i4>
      </vt:variant>
      <vt:variant>
        <vt:i4>0</vt:i4>
      </vt:variant>
      <vt:variant>
        <vt:i4>5</vt:i4>
      </vt:variant>
      <vt:variant>
        <vt:lpwstr>https://www.nyc.gov/assets/cchr/downloads/pdf/publications/AnnualReport2025.pdf</vt:lpwstr>
      </vt:variant>
      <vt:variant>
        <vt:lpwstr/>
      </vt:variant>
      <vt:variant>
        <vt:i4>3538992</vt:i4>
      </vt:variant>
      <vt:variant>
        <vt:i4>282</vt:i4>
      </vt:variant>
      <vt:variant>
        <vt:i4>0</vt:i4>
      </vt:variant>
      <vt:variant>
        <vt:i4>5</vt:i4>
      </vt:variant>
      <vt:variant>
        <vt:lpwstr>https://www.nyc.gov/assets/cchr/downloads/pdf/publications/AnnualReport2024.pdf</vt:lpwstr>
      </vt:variant>
      <vt:variant>
        <vt:lpwstr/>
      </vt:variant>
      <vt:variant>
        <vt:i4>3538993</vt:i4>
      </vt:variant>
      <vt:variant>
        <vt:i4>279</vt:i4>
      </vt:variant>
      <vt:variant>
        <vt:i4>0</vt:i4>
      </vt:variant>
      <vt:variant>
        <vt:i4>5</vt:i4>
      </vt:variant>
      <vt:variant>
        <vt:lpwstr>https://www.nyc.gov/assets/cchr/downloads/pdf/publications/AnnualReport2025.pdf</vt:lpwstr>
      </vt:variant>
      <vt:variant>
        <vt:lpwstr/>
      </vt:variant>
      <vt:variant>
        <vt:i4>3538992</vt:i4>
      </vt:variant>
      <vt:variant>
        <vt:i4>276</vt:i4>
      </vt:variant>
      <vt:variant>
        <vt:i4>0</vt:i4>
      </vt:variant>
      <vt:variant>
        <vt:i4>5</vt:i4>
      </vt:variant>
      <vt:variant>
        <vt:lpwstr>https://www.nyc.gov/assets/cchr/downloads/pdf/publications/AnnualReport2024.pdf</vt:lpwstr>
      </vt:variant>
      <vt:variant>
        <vt:lpwstr/>
      </vt:variant>
      <vt:variant>
        <vt:i4>7405624</vt:i4>
      </vt:variant>
      <vt:variant>
        <vt:i4>273</vt:i4>
      </vt:variant>
      <vt:variant>
        <vt:i4>0</vt:i4>
      </vt:variant>
      <vt:variant>
        <vt:i4>5</vt:i4>
      </vt:variant>
      <vt:variant>
        <vt:lpwstr>https://www.nyc.gov/assets/cchr/downloads/pdf/20180326_CCHR_Testimony.pdf</vt:lpwstr>
      </vt:variant>
      <vt:variant>
        <vt:lpwstr/>
      </vt:variant>
      <vt:variant>
        <vt:i4>3538999</vt:i4>
      </vt:variant>
      <vt:variant>
        <vt:i4>270</vt:i4>
      </vt:variant>
      <vt:variant>
        <vt:i4>0</vt:i4>
      </vt:variant>
      <vt:variant>
        <vt:i4>5</vt:i4>
      </vt:variant>
      <vt:variant>
        <vt:lpwstr>https://www.nyc.gov/assets/cchr/downloads/pdf/publications/AnnualReport2023.pdf</vt:lpwstr>
      </vt:variant>
      <vt:variant>
        <vt:lpwstr/>
      </vt:variant>
      <vt:variant>
        <vt:i4>1638410</vt:i4>
      </vt:variant>
      <vt:variant>
        <vt:i4>267</vt:i4>
      </vt:variant>
      <vt:variant>
        <vt:i4>0</vt:i4>
      </vt:variant>
      <vt:variant>
        <vt:i4>5</vt:i4>
      </vt:variant>
      <vt:variant>
        <vt:lpwstr>https://irle.berkeley.edu/wp-content/uploads/2022/03/The-Limits-of-Ban-the-Box-Legislation-1.pdf</vt:lpwstr>
      </vt:variant>
      <vt:variant>
        <vt:lpwstr/>
      </vt:variant>
      <vt:variant>
        <vt:i4>6684796</vt:i4>
      </vt:variant>
      <vt:variant>
        <vt:i4>264</vt:i4>
      </vt:variant>
      <vt:variant>
        <vt:i4>0</vt:i4>
      </vt:variant>
      <vt:variant>
        <vt:i4>5</vt:i4>
      </vt:variant>
      <vt:variant>
        <vt:lpwstr>https://www.nyc.gov/site/cchr/media/reports/annual-reports.page</vt:lpwstr>
      </vt:variant>
      <vt:variant>
        <vt:lpwstr/>
      </vt:variant>
      <vt:variant>
        <vt:i4>6684796</vt:i4>
      </vt:variant>
      <vt:variant>
        <vt:i4>261</vt:i4>
      </vt:variant>
      <vt:variant>
        <vt:i4>0</vt:i4>
      </vt:variant>
      <vt:variant>
        <vt:i4>5</vt:i4>
      </vt:variant>
      <vt:variant>
        <vt:lpwstr>https://www.nyc.gov/site/cchr/media/reports/annual-reports.page</vt:lpwstr>
      </vt:variant>
      <vt:variant>
        <vt:lpwstr/>
      </vt:variant>
      <vt:variant>
        <vt:i4>2555946</vt:i4>
      </vt:variant>
      <vt:variant>
        <vt:i4>258</vt:i4>
      </vt:variant>
      <vt:variant>
        <vt:i4>0</vt:i4>
      </vt:variant>
      <vt:variant>
        <vt:i4>5</vt:i4>
      </vt:variant>
      <vt:variant>
        <vt:lpwstr>https://comptroller.nyc.gov/services/for-the-public/nyc-agency-staffing-dashboard/authorized-vs-actual-staffing-with-vacancy-rates/</vt:lpwstr>
      </vt:variant>
      <vt:variant>
        <vt:lpwstr/>
      </vt:variant>
      <vt:variant>
        <vt:i4>6684796</vt:i4>
      </vt:variant>
      <vt:variant>
        <vt:i4>255</vt:i4>
      </vt:variant>
      <vt:variant>
        <vt:i4>0</vt:i4>
      </vt:variant>
      <vt:variant>
        <vt:i4>5</vt:i4>
      </vt:variant>
      <vt:variant>
        <vt:lpwstr>https://www.nyc.gov/site/cchr/media/reports/annual-reports.page</vt:lpwstr>
      </vt:variant>
      <vt:variant>
        <vt:lpwstr/>
      </vt:variant>
      <vt:variant>
        <vt:i4>851968</vt:i4>
      </vt:variant>
      <vt:variant>
        <vt:i4>252</vt:i4>
      </vt:variant>
      <vt:variant>
        <vt:i4>0</vt:i4>
      </vt:variant>
      <vt:variant>
        <vt:i4>5</vt:i4>
      </vt:variant>
      <vt:variant>
        <vt:lpwstr>https://www.nyc.gov/assets/cchr/downloads/pdf/publications/AnnualReport2016FINAL.pdf</vt:lpwstr>
      </vt:variant>
      <vt:variant>
        <vt:lpwstr/>
      </vt:variant>
      <vt:variant>
        <vt:i4>3538993</vt:i4>
      </vt:variant>
      <vt:variant>
        <vt:i4>249</vt:i4>
      </vt:variant>
      <vt:variant>
        <vt:i4>0</vt:i4>
      </vt:variant>
      <vt:variant>
        <vt:i4>5</vt:i4>
      </vt:variant>
      <vt:variant>
        <vt:lpwstr>https://www.nyc.gov/assets/cchr/downloads/pdf/publications/AnnualReport2025.pdf</vt:lpwstr>
      </vt:variant>
      <vt:variant>
        <vt:lpwstr/>
      </vt:variant>
      <vt:variant>
        <vt:i4>3538992</vt:i4>
      </vt:variant>
      <vt:variant>
        <vt:i4>246</vt:i4>
      </vt:variant>
      <vt:variant>
        <vt:i4>0</vt:i4>
      </vt:variant>
      <vt:variant>
        <vt:i4>5</vt:i4>
      </vt:variant>
      <vt:variant>
        <vt:lpwstr>https://www.nyc.gov/assets/cchr/downloads/pdf/publications/AnnualReport2024.pdf</vt:lpwstr>
      </vt:variant>
      <vt:variant>
        <vt:lpwstr/>
      </vt:variant>
      <vt:variant>
        <vt:i4>6684796</vt:i4>
      </vt:variant>
      <vt:variant>
        <vt:i4>243</vt:i4>
      </vt:variant>
      <vt:variant>
        <vt:i4>0</vt:i4>
      </vt:variant>
      <vt:variant>
        <vt:i4>5</vt:i4>
      </vt:variant>
      <vt:variant>
        <vt:lpwstr>https://www.nyc.gov/site/cchr/media/reports/annual-reports.page</vt:lpwstr>
      </vt:variant>
      <vt:variant>
        <vt:lpwstr/>
      </vt:variant>
      <vt:variant>
        <vt:i4>6684796</vt:i4>
      </vt:variant>
      <vt:variant>
        <vt:i4>240</vt:i4>
      </vt:variant>
      <vt:variant>
        <vt:i4>0</vt:i4>
      </vt:variant>
      <vt:variant>
        <vt:i4>5</vt:i4>
      </vt:variant>
      <vt:variant>
        <vt:lpwstr>https://www.nyc.gov/site/cchr/media/reports/annual-reports.page</vt:lpwstr>
      </vt:variant>
      <vt:variant>
        <vt:lpwstr/>
      </vt:variant>
      <vt:variant>
        <vt:i4>4259910</vt:i4>
      </vt:variant>
      <vt:variant>
        <vt:i4>237</vt:i4>
      </vt:variant>
      <vt:variant>
        <vt:i4>0</vt:i4>
      </vt:variant>
      <vt:variant>
        <vt:i4>5</vt:i4>
      </vt:variant>
      <vt:variant>
        <vt:lpwstr>https://www.nyc.gov/assets/cchr/downloads/pdf/publications/2017YearEndReviewFINAL.pdf</vt:lpwstr>
      </vt:variant>
      <vt:variant>
        <vt:lpwstr/>
      </vt:variant>
      <vt:variant>
        <vt:i4>851968</vt:i4>
      </vt:variant>
      <vt:variant>
        <vt:i4>234</vt:i4>
      </vt:variant>
      <vt:variant>
        <vt:i4>0</vt:i4>
      </vt:variant>
      <vt:variant>
        <vt:i4>5</vt:i4>
      </vt:variant>
      <vt:variant>
        <vt:lpwstr>https://www.nyc.gov/assets/cchr/downloads/pdf/publications/AnnualReport2016FINAL.pdf</vt:lpwstr>
      </vt:variant>
      <vt:variant>
        <vt:lpwstr/>
      </vt:variant>
      <vt:variant>
        <vt:i4>3538993</vt:i4>
      </vt:variant>
      <vt:variant>
        <vt:i4>231</vt:i4>
      </vt:variant>
      <vt:variant>
        <vt:i4>0</vt:i4>
      </vt:variant>
      <vt:variant>
        <vt:i4>5</vt:i4>
      </vt:variant>
      <vt:variant>
        <vt:lpwstr>https://www.nyc.gov/assets/cchr/downloads/pdf/publications/AnnualReport2025.pdf</vt:lpwstr>
      </vt:variant>
      <vt:variant>
        <vt:lpwstr/>
      </vt:variant>
      <vt:variant>
        <vt:i4>3538992</vt:i4>
      </vt:variant>
      <vt:variant>
        <vt:i4>228</vt:i4>
      </vt:variant>
      <vt:variant>
        <vt:i4>0</vt:i4>
      </vt:variant>
      <vt:variant>
        <vt:i4>5</vt:i4>
      </vt:variant>
      <vt:variant>
        <vt:lpwstr>https://www.nyc.gov/assets/cchr/downloads/pdf/publications/AnnualReport2024.pdf</vt:lpwstr>
      </vt:variant>
      <vt:variant>
        <vt:lpwstr/>
      </vt:variant>
      <vt:variant>
        <vt:i4>3538993</vt:i4>
      </vt:variant>
      <vt:variant>
        <vt:i4>225</vt:i4>
      </vt:variant>
      <vt:variant>
        <vt:i4>0</vt:i4>
      </vt:variant>
      <vt:variant>
        <vt:i4>5</vt:i4>
      </vt:variant>
      <vt:variant>
        <vt:lpwstr>https://www.nyc.gov/assets/cchr/downloads/pdf/publications/AnnualReport2025.pdf</vt:lpwstr>
      </vt:variant>
      <vt:variant>
        <vt:lpwstr/>
      </vt:variant>
      <vt:variant>
        <vt:i4>3538992</vt:i4>
      </vt:variant>
      <vt:variant>
        <vt:i4>222</vt:i4>
      </vt:variant>
      <vt:variant>
        <vt:i4>0</vt:i4>
      </vt:variant>
      <vt:variant>
        <vt:i4>5</vt:i4>
      </vt:variant>
      <vt:variant>
        <vt:lpwstr>https://www.nyc.gov/assets/cchr/downloads/pdf/publications/AnnualReport2024.pdf</vt:lpwstr>
      </vt:variant>
      <vt:variant>
        <vt:lpwstr/>
      </vt:variant>
      <vt:variant>
        <vt:i4>3473461</vt:i4>
      </vt:variant>
      <vt:variant>
        <vt:i4>219</vt:i4>
      </vt:variant>
      <vt:variant>
        <vt:i4>0</vt:i4>
      </vt:variant>
      <vt:variant>
        <vt:i4>5</vt:i4>
      </vt:variant>
      <vt:variant>
        <vt:lpwstr>https://hrlr.law.columbia.edu/files/2020/02/51.2.3-Kaur-and-Sussman.pdf</vt:lpwstr>
      </vt:variant>
      <vt:variant>
        <vt:lpwstr/>
      </vt:variant>
      <vt:variant>
        <vt:i4>3539043</vt:i4>
      </vt:variant>
      <vt:variant>
        <vt:i4>216</vt:i4>
      </vt:variant>
      <vt:variant>
        <vt:i4>0</vt:i4>
      </vt:variant>
      <vt:variant>
        <vt:i4>5</vt:i4>
      </vt:variant>
      <vt:variant>
        <vt:lpwstr>https://www.nelp.org/blog/two-years-of-new-york-citys-fair-chance-act-fromrobust-legislation-to-effective-enforcement/</vt:lpwstr>
      </vt:variant>
      <vt:variant>
        <vt:lpwstr/>
      </vt:variant>
      <vt:variant>
        <vt:i4>8126515</vt:i4>
      </vt:variant>
      <vt:variant>
        <vt:i4>213</vt:i4>
      </vt:variant>
      <vt:variant>
        <vt:i4>0</vt:i4>
      </vt:variant>
      <vt:variant>
        <vt:i4>5</vt:i4>
      </vt:variant>
      <vt:variant>
        <vt:lpwstr>https://perma.cc/P3J9-BZ4E</vt:lpwstr>
      </vt:variant>
      <vt:variant>
        <vt:lpwstr/>
      </vt:variant>
      <vt:variant>
        <vt:i4>4259910</vt:i4>
      </vt:variant>
      <vt:variant>
        <vt:i4>210</vt:i4>
      </vt:variant>
      <vt:variant>
        <vt:i4>0</vt:i4>
      </vt:variant>
      <vt:variant>
        <vt:i4>5</vt:i4>
      </vt:variant>
      <vt:variant>
        <vt:lpwstr>https://www.nyc.gov/assets/cchr/downloads/pdf/publications/2017YearEndReviewFINAL.pdf</vt:lpwstr>
      </vt:variant>
      <vt:variant>
        <vt:lpwstr/>
      </vt:variant>
      <vt:variant>
        <vt:i4>851968</vt:i4>
      </vt:variant>
      <vt:variant>
        <vt:i4>207</vt:i4>
      </vt:variant>
      <vt:variant>
        <vt:i4>0</vt:i4>
      </vt:variant>
      <vt:variant>
        <vt:i4>5</vt:i4>
      </vt:variant>
      <vt:variant>
        <vt:lpwstr>https://www.nyc.gov/assets/cchr/downloads/pdf/publications/AnnualReport2016FINAL.pdf</vt:lpwstr>
      </vt:variant>
      <vt:variant>
        <vt:lpwstr/>
      </vt:variant>
      <vt:variant>
        <vt:i4>8126515</vt:i4>
      </vt:variant>
      <vt:variant>
        <vt:i4>204</vt:i4>
      </vt:variant>
      <vt:variant>
        <vt:i4>0</vt:i4>
      </vt:variant>
      <vt:variant>
        <vt:i4>5</vt:i4>
      </vt:variant>
      <vt:variant>
        <vt:lpwstr>https://perma.cc/P3J9-BZ4E</vt:lpwstr>
      </vt:variant>
      <vt:variant>
        <vt:lpwstr/>
      </vt:variant>
      <vt:variant>
        <vt:i4>851968</vt:i4>
      </vt:variant>
      <vt:variant>
        <vt:i4>201</vt:i4>
      </vt:variant>
      <vt:variant>
        <vt:i4>0</vt:i4>
      </vt:variant>
      <vt:variant>
        <vt:i4>5</vt:i4>
      </vt:variant>
      <vt:variant>
        <vt:lpwstr>https://www.nyc.gov/assets/cchr/downloads/pdf/publications/AnnualReport2016FINAL.pdf</vt:lpwstr>
      </vt:variant>
      <vt:variant>
        <vt:lpwstr/>
      </vt:variant>
      <vt:variant>
        <vt:i4>8126515</vt:i4>
      </vt:variant>
      <vt:variant>
        <vt:i4>198</vt:i4>
      </vt:variant>
      <vt:variant>
        <vt:i4>0</vt:i4>
      </vt:variant>
      <vt:variant>
        <vt:i4>5</vt:i4>
      </vt:variant>
      <vt:variant>
        <vt:lpwstr>https://perma.cc/P3J9-BZ4E</vt:lpwstr>
      </vt:variant>
      <vt:variant>
        <vt:lpwstr/>
      </vt:variant>
      <vt:variant>
        <vt:i4>7602228</vt:i4>
      </vt:variant>
      <vt:variant>
        <vt:i4>195</vt:i4>
      </vt:variant>
      <vt:variant>
        <vt:i4>0</vt:i4>
      </vt:variant>
      <vt:variant>
        <vt:i4>5</vt:i4>
      </vt:variant>
      <vt:variant>
        <vt:lpwstr>https://legistar.council.nyc.gov/LegislationDetail.aspx?ID=1739365&amp;GUID=EF70B69C-074A-4B8E-9D36-187C76BB1098&amp;Options=ID|Text|&amp;Search=63</vt:lpwstr>
      </vt:variant>
      <vt:variant>
        <vt:lpwstr/>
      </vt:variant>
      <vt:variant>
        <vt:i4>4849728</vt:i4>
      </vt:variant>
      <vt:variant>
        <vt:i4>192</vt:i4>
      </vt:variant>
      <vt:variant>
        <vt:i4>0</vt:i4>
      </vt:variant>
      <vt:variant>
        <vt:i4>5</vt:i4>
      </vt:variant>
      <vt:variant>
        <vt:lpwstr>https://legistar.council.nyc.gov/LegislationDetail.aspx?ID=5755059&amp;GUID=1081D9A0-5626-4DE4-BB6A-142AB373A4AF&amp;Options=&amp;Search=</vt:lpwstr>
      </vt:variant>
      <vt:variant>
        <vt:lpwstr/>
      </vt:variant>
      <vt:variant>
        <vt:i4>7602239</vt:i4>
      </vt:variant>
      <vt:variant>
        <vt:i4>189</vt:i4>
      </vt:variant>
      <vt:variant>
        <vt:i4>0</vt:i4>
      </vt:variant>
      <vt:variant>
        <vt:i4>5</vt:i4>
      </vt:variant>
      <vt:variant>
        <vt:lpwstr>https://www.certiphi.com/resource-center/compliance-services/nyc-employers-ensure-compliance-with-the-fair-chance-act/</vt:lpwstr>
      </vt:variant>
      <vt:variant>
        <vt:lpwstr/>
      </vt:variant>
      <vt:variant>
        <vt:i4>8126515</vt:i4>
      </vt:variant>
      <vt:variant>
        <vt:i4>186</vt:i4>
      </vt:variant>
      <vt:variant>
        <vt:i4>0</vt:i4>
      </vt:variant>
      <vt:variant>
        <vt:i4>5</vt:i4>
      </vt:variant>
      <vt:variant>
        <vt:lpwstr>https://perma.cc/P3J9-BZ4E</vt:lpwstr>
      </vt:variant>
      <vt:variant>
        <vt:lpwstr/>
      </vt:variant>
      <vt:variant>
        <vt:i4>8126515</vt:i4>
      </vt:variant>
      <vt:variant>
        <vt:i4>183</vt:i4>
      </vt:variant>
      <vt:variant>
        <vt:i4>0</vt:i4>
      </vt:variant>
      <vt:variant>
        <vt:i4>5</vt:i4>
      </vt:variant>
      <vt:variant>
        <vt:lpwstr>https://perma.cc/P3J9-BZ4E</vt:lpwstr>
      </vt:variant>
      <vt:variant>
        <vt:lpwstr/>
      </vt:variant>
      <vt:variant>
        <vt:i4>851968</vt:i4>
      </vt:variant>
      <vt:variant>
        <vt:i4>180</vt:i4>
      </vt:variant>
      <vt:variant>
        <vt:i4>0</vt:i4>
      </vt:variant>
      <vt:variant>
        <vt:i4>5</vt:i4>
      </vt:variant>
      <vt:variant>
        <vt:lpwstr>https://www.nyc.gov/assets/cchr/downloads/pdf/publications/AnnualReport2016FINAL.pdf</vt:lpwstr>
      </vt:variant>
      <vt:variant>
        <vt:lpwstr/>
      </vt:variant>
      <vt:variant>
        <vt:i4>851968</vt:i4>
      </vt:variant>
      <vt:variant>
        <vt:i4>177</vt:i4>
      </vt:variant>
      <vt:variant>
        <vt:i4>0</vt:i4>
      </vt:variant>
      <vt:variant>
        <vt:i4>5</vt:i4>
      </vt:variant>
      <vt:variant>
        <vt:lpwstr>https://www.nyc.gov/assets/cchr/downloads/pdf/publications/AnnualReport2016FINAL.pdf</vt:lpwstr>
      </vt:variant>
      <vt:variant>
        <vt:lpwstr/>
      </vt:variant>
      <vt:variant>
        <vt:i4>851968</vt:i4>
      </vt:variant>
      <vt:variant>
        <vt:i4>174</vt:i4>
      </vt:variant>
      <vt:variant>
        <vt:i4>0</vt:i4>
      </vt:variant>
      <vt:variant>
        <vt:i4>5</vt:i4>
      </vt:variant>
      <vt:variant>
        <vt:lpwstr>https://www.nyc.gov/assets/cchr/downloads/pdf/publications/AnnualReport2016FINAL.pdf</vt:lpwstr>
      </vt:variant>
      <vt:variant>
        <vt:lpwstr/>
      </vt:variant>
      <vt:variant>
        <vt:i4>851968</vt:i4>
      </vt:variant>
      <vt:variant>
        <vt:i4>171</vt:i4>
      </vt:variant>
      <vt:variant>
        <vt:i4>0</vt:i4>
      </vt:variant>
      <vt:variant>
        <vt:i4>5</vt:i4>
      </vt:variant>
      <vt:variant>
        <vt:lpwstr>https://www.nyc.gov/assets/cchr/downloads/pdf/publications/AnnualReport2016FINAL.pdf</vt:lpwstr>
      </vt:variant>
      <vt:variant>
        <vt:lpwstr/>
      </vt:variant>
      <vt:variant>
        <vt:i4>4259910</vt:i4>
      </vt:variant>
      <vt:variant>
        <vt:i4>168</vt:i4>
      </vt:variant>
      <vt:variant>
        <vt:i4>0</vt:i4>
      </vt:variant>
      <vt:variant>
        <vt:i4>5</vt:i4>
      </vt:variant>
      <vt:variant>
        <vt:lpwstr>https://www.nyc.gov/assets/cchr/downloads/pdf/publications/2017YearEndReviewFINAL.pdf</vt:lpwstr>
      </vt:variant>
      <vt:variant>
        <vt:lpwstr/>
      </vt:variant>
      <vt:variant>
        <vt:i4>851968</vt:i4>
      </vt:variant>
      <vt:variant>
        <vt:i4>165</vt:i4>
      </vt:variant>
      <vt:variant>
        <vt:i4>0</vt:i4>
      </vt:variant>
      <vt:variant>
        <vt:i4>5</vt:i4>
      </vt:variant>
      <vt:variant>
        <vt:lpwstr>https://www.nyc.gov/assets/cchr/downloads/pdf/publications/AnnualReport2016FINAL.pdf</vt:lpwstr>
      </vt:variant>
      <vt:variant>
        <vt:lpwstr/>
      </vt:variant>
      <vt:variant>
        <vt:i4>8126515</vt:i4>
      </vt:variant>
      <vt:variant>
        <vt:i4>162</vt:i4>
      </vt:variant>
      <vt:variant>
        <vt:i4>0</vt:i4>
      </vt:variant>
      <vt:variant>
        <vt:i4>5</vt:i4>
      </vt:variant>
      <vt:variant>
        <vt:lpwstr>https://perma.cc/P3J9-BZ4E</vt:lpwstr>
      </vt:variant>
      <vt:variant>
        <vt:lpwstr/>
      </vt:variant>
      <vt:variant>
        <vt:i4>851968</vt:i4>
      </vt:variant>
      <vt:variant>
        <vt:i4>159</vt:i4>
      </vt:variant>
      <vt:variant>
        <vt:i4>0</vt:i4>
      </vt:variant>
      <vt:variant>
        <vt:i4>5</vt:i4>
      </vt:variant>
      <vt:variant>
        <vt:lpwstr>https://www.nyc.gov/assets/cchr/downloads/pdf/publications/AnnualReport2016FINAL.pdf</vt:lpwstr>
      </vt:variant>
      <vt:variant>
        <vt:lpwstr/>
      </vt:variant>
      <vt:variant>
        <vt:i4>5570650</vt:i4>
      </vt:variant>
      <vt:variant>
        <vt:i4>156</vt:i4>
      </vt:variant>
      <vt:variant>
        <vt:i4>0</vt:i4>
      </vt:variant>
      <vt:variant>
        <vt:i4>5</vt:i4>
      </vt:variant>
      <vt:variant>
        <vt:lpwstr>https://vera-institute.files.svdcdn.com/production/downloads/publications/Fair-Chance-Housing-Lessons-in-Implementation.pdf?dm=1736531593</vt:lpwstr>
      </vt:variant>
      <vt:variant>
        <vt:lpwstr/>
      </vt:variant>
      <vt:variant>
        <vt:i4>5570650</vt:i4>
      </vt:variant>
      <vt:variant>
        <vt:i4>153</vt:i4>
      </vt:variant>
      <vt:variant>
        <vt:i4>0</vt:i4>
      </vt:variant>
      <vt:variant>
        <vt:i4>5</vt:i4>
      </vt:variant>
      <vt:variant>
        <vt:lpwstr>https://vera-institute.files.svdcdn.com/production/downloads/publications/Fair-Chance-Housing-Lessons-in-Implementation.pdf?dm=1736531593</vt:lpwstr>
      </vt:variant>
      <vt:variant>
        <vt:lpwstr/>
      </vt:variant>
      <vt:variant>
        <vt:i4>4915320</vt:i4>
      </vt:variant>
      <vt:variant>
        <vt:i4>150</vt:i4>
      </vt:variant>
      <vt:variant>
        <vt:i4>0</vt:i4>
      </vt:variant>
      <vt:variant>
        <vt:i4>5</vt:i4>
      </vt:variant>
      <vt:variant>
        <vt:lpwstr>https://www.urban.org/sites/default/files/2025-07/Final_Fair Chance Housing Laws brief.pdf</vt:lpwstr>
      </vt:variant>
      <vt:variant>
        <vt:lpwstr/>
      </vt:variant>
      <vt:variant>
        <vt:i4>5570650</vt:i4>
      </vt:variant>
      <vt:variant>
        <vt:i4>147</vt:i4>
      </vt:variant>
      <vt:variant>
        <vt:i4>0</vt:i4>
      </vt:variant>
      <vt:variant>
        <vt:i4>5</vt:i4>
      </vt:variant>
      <vt:variant>
        <vt:lpwstr>https://vera-institute.files.svdcdn.com/production/downloads/publications/Fair-Chance-Housing-Lessons-in-Implementation.pdf?dm=1736531593</vt:lpwstr>
      </vt:variant>
      <vt:variant>
        <vt:lpwstr/>
      </vt:variant>
      <vt:variant>
        <vt:i4>4915320</vt:i4>
      </vt:variant>
      <vt:variant>
        <vt:i4>144</vt:i4>
      </vt:variant>
      <vt:variant>
        <vt:i4>0</vt:i4>
      </vt:variant>
      <vt:variant>
        <vt:i4>5</vt:i4>
      </vt:variant>
      <vt:variant>
        <vt:lpwstr>https://www.urban.org/sites/default/files/2025-07/Final_Fair Chance Housing Laws brief.pdf</vt:lpwstr>
      </vt:variant>
      <vt:variant>
        <vt:lpwstr/>
      </vt:variant>
      <vt:variant>
        <vt:i4>4915320</vt:i4>
      </vt:variant>
      <vt:variant>
        <vt:i4>141</vt:i4>
      </vt:variant>
      <vt:variant>
        <vt:i4>0</vt:i4>
      </vt:variant>
      <vt:variant>
        <vt:i4>5</vt:i4>
      </vt:variant>
      <vt:variant>
        <vt:lpwstr>https://www.urban.org/sites/default/files/2025-07/Final_Fair Chance Housing Laws brief.pdf</vt:lpwstr>
      </vt:variant>
      <vt:variant>
        <vt:lpwstr/>
      </vt:variant>
      <vt:variant>
        <vt:i4>5570650</vt:i4>
      </vt:variant>
      <vt:variant>
        <vt:i4>138</vt:i4>
      </vt:variant>
      <vt:variant>
        <vt:i4>0</vt:i4>
      </vt:variant>
      <vt:variant>
        <vt:i4>5</vt:i4>
      </vt:variant>
      <vt:variant>
        <vt:lpwstr>https://vera-institute.files.svdcdn.com/production/downloads/publications/Fair-Chance-Housing-Lessons-in-Implementation.pdf?dm=1736531593</vt:lpwstr>
      </vt:variant>
      <vt:variant>
        <vt:lpwstr/>
      </vt:variant>
      <vt:variant>
        <vt:i4>4915320</vt:i4>
      </vt:variant>
      <vt:variant>
        <vt:i4>135</vt:i4>
      </vt:variant>
      <vt:variant>
        <vt:i4>0</vt:i4>
      </vt:variant>
      <vt:variant>
        <vt:i4>5</vt:i4>
      </vt:variant>
      <vt:variant>
        <vt:lpwstr>https://www.urban.org/sites/default/files/2025-07/Final_Fair Chance Housing Laws brief.pdf</vt:lpwstr>
      </vt:variant>
      <vt:variant>
        <vt:lpwstr/>
      </vt:variant>
      <vt:variant>
        <vt:i4>4915320</vt:i4>
      </vt:variant>
      <vt:variant>
        <vt:i4>132</vt:i4>
      </vt:variant>
      <vt:variant>
        <vt:i4>0</vt:i4>
      </vt:variant>
      <vt:variant>
        <vt:i4>5</vt:i4>
      </vt:variant>
      <vt:variant>
        <vt:lpwstr>https://www.urban.org/sites/default/files/2025-07/Final_Fair Chance Housing Laws brief.pdf</vt:lpwstr>
      </vt:variant>
      <vt:variant>
        <vt:lpwstr/>
      </vt:variant>
      <vt:variant>
        <vt:i4>8257653</vt:i4>
      </vt:variant>
      <vt:variant>
        <vt:i4>129</vt:i4>
      </vt:variant>
      <vt:variant>
        <vt:i4>0</vt:i4>
      </vt:variant>
      <vt:variant>
        <vt:i4>5</vt:i4>
      </vt:variant>
      <vt:variant>
        <vt:lpwstr>https://www.backgroundchecks.com/blog/colorado-enacts-new-restrictions-on-tenant-background-checks</vt:lpwstr>
      </vt:variant>
      <vt:variant>
        <vt:lpwstr/>
      </vt:variant>
      <vt:variant>
        <vt:i4>5963883</vt:i4>
      </vt:variant>
      <vt:variant>
        <vt:i4>126</vt:i4>
      </vt:variant>
      <vt:variant>
        <vt:i4>0</vt:i4>
      </vt:variant>
      <vt:variant>
        <vt:i4>5</vt:i4>
      </vt:variant>
      <vt:variant>
        <vt:lpwstr>https://www.njoag.gov/wp-content/uploads/2021/12/Fair-Chance-in-Housing-Act_NJSA-46-8-52-et-seq.pdf</vt:lpwstr>
      </vt:variant>
      <vt:variant>
        <vt:lpwstr/>
      </vt:variant>
      <vt:variant>
        <vt:i4>2228278</vt:i4>
      </vt:variant>
      <vt:variant>
        <vt:i4>123</vt:i4>
      </vt:variant>
      <vt:variant>
        <vt:i4>0</vt:i4>
      </vt:variant>
      <vt:variant>
        <vt:i4>5</vt:i4>
      </vt:variant>
      <vt:variant>
        <vt:lpwstr>https://www.rentmanager.com/ban-the-box-and-beyond-how-to-comply-with-state-laws-and-local-ordinances/</vt:lpwstr>
      </vt:variant>
      <vt:variant>
        <vt:lpwstr/>
      </vt:variant>
      <vt:variant>
        <vt:i4>5701720</vt:i4>
      </vt:variant>
      <vt:variant>
        <vt:i4>120</vt:i4>
      </vt:variant>
      <vt:variant>
        <vt:i4>0</vt:i4>
      </vt:variant>
      <vt:variant>
        <vt:i4>5</vt:i4>
      </vt:variant>
      <vt:variant>
        <vt:lpwstr>https://www.huduser.gov/portal/pdredge/pdr-edge-frm-asst-sec-051722.html</vt:lpwstr>
      </vt:variant>
      <vt:variant>
        <vt:lpwstr/>
      </vt:variant>
      <vt:variant>
        <vt:i4>4456468</vt:i4>
      </vt:variant>
      <vt:variant>
        <vt:i4>117</vt:i4>
      </vt:variant>
      <vt:variant>
        <vt:i4>0</vt:i4>
      </vt:variant>
      <vt:variant>
        <vt:i4>5</vt:i4>
      </vt:variant>
      <vt:variant>
        <vt:lpwstr>https://www.nelp.org/app/uploads/2024/04/Research-Supports-Fair-Chance-Policies-Apr.2024.pdf</vt:lpwstr>
      </vt:variant>
      <vt:variant>
        <vt:lpwstr/>
      </vt:variant>
      <vt:variant>
        <vt:i4>2752560</vt:i4>
      </vt:variant>
      <vt:variant>
        <vt:i4>114</vt:i4>
      </vt:variant>
      <vt:variant>
        <vt:i4>0</vt:i4>
      </vt:variant>
      <vt:variant>
        <vt:i4>5</vt:i4>
      </vt:variant>
      <vt:variant>
        <vt:lpwstr>https://dol.ny.gov/individuals-who-are-justice-involved</vt:lpwstr>
      </vt:variant>
      <vt:variant>
        <vt:lpwstr/>
      </vt:variant>
      <vt:variant>
        <vt:i4>7209053</vt:i4>
      </vt:variant>
      <vt:variant>
        <vt:i4>111</vt:i4>
      </vt:variant>
      <vt:variant>
        <vt:i4>0</vt:i4>
      </vt:variant>
      <vt:variant>
        <vt:i4>5</vt:i4>
      </vt:variant>
      <vt:variant>
        <vt:lpwstr>https://www.nelp.org/insights-research/ban-the-box-fair-chance-hiring-state-and-local-guide/</vt:lpwstr>
      </vt:variant>
      <vt:variant>
        <vt:lpwstr>Chart_of_Local_Fair_Chance_Policies</vt:lpwstr>
      </vt:variant>
      <vt:variant>
        <vt:i4>6946859</vt:i4>
      </vt:variant>
      <vt:variant>
        <vt:i4>108</vt:i4>
      </vt:variant>
      <vt:variant>
        <vt:i4>0</vt:i4>
      </vt:variant>
      <vt:variant>
        <vt:i4>5</vt:i4>
      </vt:variant>
      <vt:variant>
        <vt:lpwstr>https://scholarship.law.edu/lawreview/vol72/iss4/9/</vt:lpwstr>
      </vt:variant>
      <vt:variant>
        <vt:lpwstr/>
      </vt:variant>
      <vt:variant>
        <vt:i4>4915320</vt:i4>
      </vt:variant>
      <vt:variant>
        <vt:i4>105</vt:i4>
      </vt:variant>
      <vt:variant>
        <vt:i4>0</vt:i4>
      </vt:variant>
      <vt:variant>
        <vt:i4>5</vt:i4>
      </vt:variant>
      <vt:variant>
        <vt:lpwstr>https://www.urban.org/sites/default/files/2025-07/Final_Fair Chance Housing Laws brief.pdf</vt:lpwstr>
      </vt:variant>
      <vt:variant>
        <vt:lpwstr/>
      </vt:variant>
      <vt:variant>
        <vt:i4>6291565</vt:i4>
      </vt:variant>
      <vt:variant>
        <vt:i4>102</vt:i4>
      </vt:variant>
      <vt:variant>
        <vt:i4>0</vt:i4>
      </vt:variant>
      <vt:variant>
        <vt:i4>5</vt:i4>
      </vt:variant>
      <vt:variant>
        <vt:lpwstr>https://www.americanbar.org/groups/crsj/resources/human-rights/2025-october/state-local-responses-health-agencies/</vt:lpwstr>
      </vt:variant>
      <vt:variant>
        <vt:lpwstr/>
      </vt:variant>
      <vt:variant>
        <vt:i4>393218</vt:i4>
      </vt:variant>
      <vt:variant>
        <vt:i4>99</vt:i4>
      </vt:variant>
      <vt:variant>
        <vt:i4>0</vt:i4>
      </vt:variant>
      <vt:variant>
        <vt:i4>5</vt:i4>
      </vt:variant>
      <vt:variant>
        <vt:lpwstr>https://www.washingtonpost.com/nation/2025/02/28/doge-trump-civil-rights-office-closing-eeoc/</vt:lpwstr>
      </vt:variant>
      <vt:variant>
        <vt:lpwstr/>
      </vt:variant>
      <vt:variant>
        <vt:i4>7405685</vt:i4>
      </vt:variant>
      <vt:variant>
        <vt:i4>96</vt:i4>
      </vt:variant>
      <vt:variant>
        <vt:i4>0</vt:i4>
      </vt:variant>
      <vt:variant>
        <vt:i4>5</vt:i4>
      </vt:variant>
      <vt:variant>
        <vt:lpwstr>https://tminstituteldf.org/criminal-background-checks-housing-barrier/</vt:lpwstr>
      </vt:variant>
      <vt:variant>
        <vt:lpwstr>part4</vt:lpwstr>
      </vt:variant>
      <vt:variant>
        <vt:i4>6553719</vt:i4>
      </vt:variant>
      <vt:variant>
        <vt:i4>93</vt:i4>
      </vt:variant>
      <vt:variant>
        <vt:i4>0</vt:i4>
      </vt:variant>
      <vt:variant>
        <vt:i4>5</vt:i4>
      </vt:variant>
      <vt:variant>
        <vt:lpwstr>https://tminstituteldf.org/criminal-background-checks-housing-barrier/</vt:lpwstr>
      </vt:variant>
      <vt:variant>
        <vt:lpwstr/>
      </vt:variant>
      <vt:variant>
        <vt:i4>4653142</vt:i4>
      </vt:variant>
      <vt:variant>
        <vt:i4>90</vt:i4>
      </vt:variant>
      <vt:variant>
        <vt:i4>0</vt:i4>
      </vt:variant>
      <vt:variant>
        <vt:i4>5</vt:i4>
      </vt:variant>
      <vt:variant>
        <vt:lpwstr>https://www.eeoc.gov/arrestandconviction</vt:lpwstr>
      </vt:variant>
      <vt:variant>
        <vt:lpwstr/>
      </vt:variant>
      <vt:variant>
        <vt:i4>2752560</vt:i4>
      </vt:variant>
      <vt:variant>
        <vt:i4>87</vt:i4>
      </vt:variant>
      <vt:variant>
        <vt:i4>0</vt:i4>
      </vt:variant>
      <vt:variant>
        <vt:i4>5</vt:i4>
      </vt:variant>
      <vt:variant>
        <vt:lpwstr>https://dol.ny.gov/individuals-who-are-justice-involved</vt:lpwstr>
      </vt:variant>
      <vt:variant>
        <vt:lpwstr/>
      </vt:variant>
      <vt:variant>
        <vt:i4>5570584</vt:i4>
      </vt:variant>
      <vt:variant>
        <vt:i4>84</vt:i4>
      </vt:variant>
      <vt:variant>
        <vt:i4>0</vt:i4>
      </vt:variant>
      <vt:variant>
        <vt:i4>5</vt:i4>
      </vt:variant>
      <vt:variant>
        <vt:lpwstr>https://www.nyc.gov/site/cchr/media/fair-chance-housing-campaign.page</vt:lpwstr>
      </vt:variant>
      <vt:variant>
        <vt:lpwstr/>
      </vt:variant>
      <vt:variant>
        <vt:i4>4456478</vt:i4>
      </vt:variant>
      <vt:variant>
        <vt:i4>81</vt:i4>
      </vt:variant>
      <vt:variant>
        <vt:i4>0</vt:i4>
      </vt:variant>
      <vt:variant>
        <vt:i4>5</vt:i4>
      </vt:variant>
      <vt:variant>
        <vt:lpwstr>https://www.nyc.gov/site/cchr/media/fair-chance-act-campaign.page</vt:lpwstr>
      </vt:variant>
      <vt:variant>
        <vt:lpwstr/>
      </vt:variant>
      <vt:variant>
        <vt:i4>5439544</vt:i4>
      </vt:variant>
      <vt:variant>
        <vt:i4>78</vt:i4>
      </vt:variant>
      <vt:variant>
        <vt:i4>0</vt:i4>
      </vt:variant>
      <vt:variant>
        <vt:i4>5</vt:i4>
      </vt:variant>
      <vt:variant>
        <vt:lpwstr>https://www.vera.org/downloads/Publications/the-first-month-out-post-incarceration-experiences-in-new-york-city/legacy_downloads/first_month_out.pdf</vt:lpwstr>
      </vt:variant>
      <vt:variant>
        <vt:lpwstr/>
      </vt:variant>
      <vt:variant>
        <vt:i4>4784135</vt:i4>
      </vt:variant>
      <vt:variant>
        <vt:i4>75</vt:i4>
      </vt:variant>
      <vt:variant>
        <vt:i4>0</vt:i4>
      </vt:variant>
      <vt:variant>
        <vt:i4>5</vt:i4>
      </vt:variant>
      <vt:variant>
        <vt:lpwstr>https://www.huduser.gov/portal/periodicals/cityscpe/vol15num3/ch3.pdf</vt:lpwstr>
      </vt:variant>
      <vt:variant>
        <vt:lpwstr/>
      </vt:variant>
      <vt:variant>
        <vt:i4>8323121</vt:i4>
      </vt:variant>
      <vt:variant>
        <vt:i4>72</vt:i4>
      </vt:variant>
      <vt:variant>
        <vt:i4>0</vt:i4>
      </vt:variant>
      <vt:variant>
        <vt:i4>5</vt:i4>
      </vt:variant>
      <vt:variant>
        <vt:lpwstr>https://whopaysreport.org/wp-content/uploads/2015/09/Who-Pays-FINAL.pdf</vt:lpwstr>
      </vt:variant>
      <vt:variant>
        <vt:lpwstr/>
      </vt:variant>
      <vt:variant>
        <vt:i4>6553719</vt:i4>
      </vt:variant>
      <vt:variant>
        <vt:i4>69</vt:i4>
      </vt:variant>
      <vt:variant>
        <vt:i4>0</vt:i4>
      </vt:variant>
      <vt:variant>
        <vt:i4>5</vt:i4>
      </vt:variant>
      <vt:variant>
        <vt:lpwstr>https://tminstituteldf.org/criminal-background-checks-housing-barrier/</vt:lpwstr>
      </vt:variant>
      <vt:variant>
        <vt:lpwstr/>
      </vt:variant>
      <vt:variant>
        <vt:i4>6619148</vt:i4>
      </vt:variant>
      <vt:variant>
        <vt:i4>66</vt:i4>
      </vt:variant>
      <vt:variant>
        <vt:i4>0</vt:i4>
      </vt:variant>
      <vt:variant>
        <vt:i4>5</vt:i4>
      </vt:variant>
      <vt:variant>
        <vt:lpwstr>https://repository.upenn.edu/spp_papers/61</vt:lpwstr>
      </vt:variant>
      <vt:variant>
        <vt:lpwstr/>
      </vt:variant>
      <vt:variant>
        <vt:i4>2752618</vt:i4>
      </vt:variant>
      <vt:variant>
        <vt:i4>63</vt:i4>
      </vt:variant>
      <vt:variant>
        <vt:i4>0</vt:i4>
      </vt:variant>
      <vt:variant>
        <vt:i4>5</vt:i4>
      </vt:variant>
      <vt:variant>
        <vt:lpwstr>https://www.medium.com/techequity-collaborative/its-time-to-ban-the-box-on-housing-a20889159e69</vt:lpwstr>
      </vt:variant>
      <vt:variant>
        <vt:lpwstr/>
      </vt:variant>
      <vt:variant>
        <vt:i4>7864355</vt:i4>
      </vt:variant>
      <vt:variant>
        <vt:i4>60</vt:i4>
      </vt:variant>
      <vt:variant>
        <vt:i4>0</vt:i4>
      </vt:variant>
      <vt:variant>
        <vt:i4>5</vt:i4>
      </vt:variant>
      <vt:variant>
        <vt:lpwstr>https://www.nytimes.com/2022/08/09/nyregion/criminal-background-checks-nyc-housing.html</vt:lpwstr>
      </vt:variant>
      <vt:variant>
        <vt:lpwstr/>
      </vt:variant>
      <vt:variant>
        <vt:i4>720897</vt:i4>
      </vt:variant>
      <vt:variant>
        <vt:i4>57</vt:i4>
      </vt:variant>
      <vt:variant>
        <vt:i4>0</vt:i4>
      </vt:variant>
      <vt:variant>
        <vt:i4>5</vt:i4>
      </vt:variant>
      <vt:variant>
        <vt:lpwstr>https://www.sentencingproject.org/app/uploads/2022/08/Americans-with-Criminal-Records-Poverty-and-Opportunity-Profile.pdf</vt:lpwstr>
      </vt:variant>
      <vt:variant>
        <vt:lpwstr/>
      </vt:variant>
      <vt:variant>
        <vt:i4>1048581</vt:i4>
      </vt:variant>
      <vt:variant>
        <vt:i4>54</vt:i4>
      </vt:variant>
      <vt:variant>
        <vt:i4>0</vt:i4>
      </vt:variant>
      <vt:variant>
        <vt:i4>5</vt:i4>
      </vt:variant>
      <vt:variant>
        <vt:lpwstr>https://www.prisonpolicy.org/profiles/NY.html</vt:lpwstr>
      </vt:variant>
      <vt:variant>
        <vt:lpwstr/>
      </vt:variant>
      <vt:variant>
        <vt:i4>1048581</vt:i4>
      </vt:variant>
      <vt:variant>
        <vt:i4>51</vt:i4>
      </vt:variant>
      <vt:variant>
        <vt:i4>0</vt:i4>
      </vt:variant>
      <vt:variant>
        <vt:i4>5</vt:i4>
      </vt:variant>
      <vt:variant>
        <vt:lpwstr>https://www.prisonpolicy.org/profiles/NY.html</vt:lpwstr>
      </vt:variant>
      <vt:variant>
        <vt:lpwstr/>
      </vt:variant>
      <vt:variant>
        <vt:i4>720897</vt:i4>
      </vt:variant>
      <vt:variant>
        <vt:i4>48</vt:i4>
      </vt:variant>
      <vt:variant>
        <vt:i4>0</vt:i4>
      </vt:variant>
      <vt:variant>
        <vt:i4>5</vt:i4>
      </vt:variant>
      <vt:variant>
        <vt:lpwstr>https://www.sentencingproject.org/app/uploads/2022/08/Americans-with-Criminal-Records-Poverty-and-Opportunity-Profile.pdf</vt:lpwstr>
      </vt:variant>
      <vt:variant>
        <vt:lpwstr/>
      </vt:variant>
      <vt:variant>
        <vt:i4>7536706</vt:i4>
      </vt:variant>
      <vt:variant>
        <vt:i4>45</vt:i4>
      </vt:variant>
      <vt:variant>
        <vt:i4>0</vt:i4>
      </vt:variant>
      <vt:variant>
        <vt:i4>5</vt:i4>
      </vt:variant>
      <vt:variant>
        <vt:lpwstr>https://www.prisonpolicy.org/research/racial_and_ethnic_disparities/</vt:lpwstr>
      </vt:variant>
      <vt:variant>
        <vt:lpwstr/>
      </vt:variant>
      <vt:variant>
        <vt:i4>7536706</vt:i4>
      </vt:variant>
      <vt:variant>
        <vt:i4>42</vt:i4>
      </vt:variant>
      <vt:variant>
        <vt:i4>0</vt:i4>
      </vt:variant>
      <vt:variant>
        <vt:i4>5</vt:i4>
      </vt:variant>
      <vt:variant>
        <vt:lpwstr>https://www.prisonpolicy.org/research/racial_and_ethnic_disparities/</vt:lpwstr>
      </vt:variant>
      <vt:variant>
        <vt:lpwstr/>
      </vt:variant>
      <vt:variant>
        <vt:i4>7536706</vt:i4>
      </vt:variant>
      <vt:variant>
        <vt:i4>39</vt:i4>
      </vt:variant>
      <vt:variant>
        <vt:i4>0</vt:i4>
      </vt:variant>
      <vt:variant>
        <vt:i4>5</vt:i4>
      </vt:variant>
      <vt:variant>
        <vt:lpwstr>https://www.prisonpolicy.org/research/racial_and_ethnic_disparities/</vt:lpwstr>
      </vt:variant>
      <vt:variant>
        <vt:lpwstr/>
      </vt:variant>
      <vt:variant>
        <vt:i4>6422609</vt:i4>
      </vt:variant>
      <vt:variant>
        <vt:i4>36</vt:i4>
      </vt:variant>
      <vt:variant>
        <vt:i4>0</vt:i4>
      </vt:variant>
      <vt:variant>
        <vt:i4>5</vt:i4>
      </vt:variant>
      <vt:variant>
        <vt:lpwstr>https://www.nhlp.org/wp-content/uploads/021320_NHLP_FairChance_Final.pdf</vt:lpwstr>
      </vt:variant>
      <vt:variant>
        <vt:lpwstr/>
      </vt:variant>
      <vt:variant>
        <vt:i4>7405568</vt:i4>
      </vt:variant>
      <vt:variant>
        <vt:i4>33</vt:i4>
      </vt:variant>
      <vt:variant>
        <vt:i4>0</vt:i4>
      </vt:variant>
      <vt:variant>
        <vt:i4>5</vt:i4>
      </vt:variant>
      <vt:variant>
        <vt:lpwstr>https://www.prisonstudies.org/world-prison-data/highest-lowest/highest-lowest-prison-population-total?field_region_taxonomy_tid=All</vt:lpwstr>
      </vt:variant>
      <vt:variant>
        <vt:lpwstr/>
      </vt:variant>
      <vt:variant>
        <vt:i4>1835021</vt:i4>
      </vt:variant>
      <vt:variant>
        <vt:i4>30</vt:i4>
      </vt:variant>
      <vt:variant>
        <vt:i4>0</vt:i4>
      </vt:variant>
      <vt:variant>
        <vt:i4>5</vt:i4>
      </vt:variant>
      <vt:variant>
        <vt:lpwstr>https://www.sentencingproject.org/policy-brief/americas-incarceration-crossroads-reversing-progress-amid-record-low-crime-rates/</vt:lpwstr>
      </vt:variant>
      <vt:variant>
        <vt:lpwstr/>
      </vt:variant>
      <vt:variant>
        <vt:i4>3080241</vt:i4>
      </vt:variant>
      <vt:variant>
        <vt:i4>27</vt:i4>
      </vt:variant>
      <vt:variant>
        <vt:i4>0</vt:i4>
      </vt:variant>
      <vt:variant>
        <vt:i4>5</vt:i4>
      </vt:variant>
      <vt:variant>
        <vt:lpwstr>https://www.factcheck.org/2016/04/bill-clinton-and-the-1994-crime-bill/</vt:lpwstr>
      </vt:variant>
      <vt:variant>
        <vt:lpwstr/>
      </vt:variant>
      <vt:variant>
        <vt:i4>3801123</vt:i4>
      </vt:variant>
      <vt:variant>
        <vt:i4>24</vt:i4>
      </vt:variant>
      <vt:variant>
        <vt:i4>0</vt:i4>
      </vt:variant>
      <vt:variant>
        <vt:i4>5</vt:i4>
      </vt:variant>
      <vt:variant>
        <vt:lpwstr>https://www.brennancenter.org/our-work/analysis-opinion/history-mass-incarceration</vt:lpwstr>
      </vt:variant>
      <vt:variant>
        <vt:lpwstr/>
      </vt:variant>
      <vt:variant>
        <vt:i4>3801123</vt:i4>
      </vt:variant>
      <vt:variant>
        <vt:i4>21</vt:i4>
      </vt:variant>
      <vt:variant>
        <vt:i4>0</vt:i4>
      </vt:variant>
      <vt:variant>
        <vt:i4>5</vt:i4>
      </vt:variant>
      <vt:variant>
        <vt:lpwstr>https://www.brennancenter.org/our-work/analysis-opinion/history-mass-incarceration</vt:lpwstr>
      </vt:variant>
      <vt:variant>
        <vt:lpwstr/>
      </vt:variant>
      <vt:variant>
        <vt:i4>3801123</vt:i4>
      </vt:variant>
      <vt:variant>
        <vt:i4>18</vt:i4>
      </vt:variant>
      <vt:variant>
        <vt:i4>0</vt:i4>
      </vt:variant>
      <vt:variant>
        <vt:i4>5</vt:i4>
      </vt:variant>
      <vt:variant>
        <vt:lpwstr>https://www.brennancenter.org/our-work/analysis-opinion/history-mass-incarceration</vt:lpwstr>
      </vt:variant>
      <vt:variant>
        <vt:lpwstr/>
      </vt:variant>
      <vt:variant>
        <vt:i4>2097201</vt:i4>
      </vt:variant>
      <vt:variant>
        <vt:i4>15</vt:i4>
      </vt:variant>
      <vt:variant>
        <vt:i4>0</vt:i4>
      </vt:variant>
      <vt:variant>
        <vt:i4>5</vt:i4>
      </vt:variant>
      <vt:variant>
        <vt:lpwstr>https://www.vera.org/reimagining-prison-web-report/american-history-race-and-prison</vt:lpwstr>
      </vt:variant>
      <vt:variant>
        <vt:lpwstr/>
      </vt:variant>
      <vt:variant>
        <vt:i4>6029391</vt:i4>
      </vt:variant>
      <vt:variant>
        <vt:i4>12</vt:i4>
      </vt:variant>
      <vt:variant>
        <vt:i4>0</vt:i4>
      </vt:variant>
      <vt:variant>
        <vt:i4>5</vt:i4>
      </vt:variant>
      <vt:variant>
        <vt:lpwstr>https://criticalresistance.org/mission-vision/not-so-common-language/</vt:lpwstr>
      </vt:variant>
      <vt:variant>
        <vt:lpwstr/>
      </vt:variant>
      <vt:variant>
        <vt:i4>2097201</vt:i4>
      </vt:variant>
      <vt:variant>
        <vt:i4>9</vt:i4>
      </vt:variant>
      <vt:variant>
        <vt:i4>0</vt:i4>
      </vt:variant>
      <vt:variant>
        <vt:i4>5</vt:i4>
      </vt:variant>
      <vt:variant>
        <vt:lpwstr>https://www.vera.org/reimagining-prison-web-report/american-history-race-and-prison</vt:lpwstr>
      </vt:variant>
      <vt:variant>
        <vt:lpwstr/>
      </vt:variant>
      <vt:variant>
        <vt:i4>2097201</vt:i4>
      </vt:variant>
      <vt:variant>
        <vt:i4>6</vt:i4>
      </vt:variant>
      <vt:variant>
        <vt:i4>0</vt:i4>
      </vt:variant>
      <vt:variant>
        <vt:i4>5</vt:i4>
      </vt:variant>
      <vt:variant>
        <vt:lpwstr>https://www.vera.org/reimagining-prison-web-report/american-history-race-and-prison</vt:lpwstr>
      </vt:variant>
      <vt:variant>
        <vt:lpwstr/>
      </vt:variant>
      <vt:variant>
        <vt:i4>2097201</vt:i4>
      </vt:variant>
      <vt:variant>
        <vt:i4>3</vt:i4>
      </vt:variant>
      <vt:variant>
        <vt:i4>0</vt:i4>
      </vt:variant>
      <vt:variant>
        <vt:i4>5</vt:i4>
      </vt:variant>
      <vt:variant>
        <vt:lpwstr>https://www.vera.org/reimagining-prison-web-report/american-history-race-and-prison</vt:lpwstr>
      </vt:variant>
      <vt:variant>
        <vt:lpwstr/>
      </vt:variant>
      <vt:variant>
        <vt:i4>4915221</vt:i4>
      </vt:variant>
      <vt:variant>
        <vt:i4>0</vt:i4>
      </vt:variant>
      <vt:variant>
        <vt:i4>0</vt:i4>
      </vt:variant>
      <vt:variant>
        <vt:i4>5</vt:i4>
      </vt:variant>
      <vt:variant>
        <vt:lpwstr>https://criminaljustice.cityofnewyork.us/programs/community-justice-reentry-network/</vt:lpwstr>
      </vt:variant>
      <vt:variant>
        <vt:lpwstr/>
      </vt:variant>
      <vt:variant>
        <vt:i4>1835090</vt:i4>
      </vt:variant>
      <vt:variant>
        <vt:i4>0</vt:i4>
      </vt:variant>
      <vt:variant>
        <vt:i4>0</vt:i4>
      </vt:variant>
      <vt:variant>
        <vt:i4>5</vt:i4>
      </vt:variant>
      <vt:variant>
        <vt:lpwstr>https://www.nlc.org/article/2025/09/26/how-fair-chance-hiring-practices-strengthen-the-entire-workforce/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Diouri</dc:creator>
  <cp:keywords/>
  <dc:description/>
  <cp:lastModifiedBy>Jeffries, Jillian</cp:lastModifiedBy>
  <cp:revision>2</cp:revision>
  <cp:lastPrinted>2026-04-27T17:23:00Z</cp:lastPrinted>
  <dcterms:created xsi:type="dcterms:W3CDTF">2026-04-27T19:36:00Z</dcterms:created>
  <dcterms:modified xsi:type="dcterms:W3CDTF">2026-04-27T19:36:00Z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0x010100914809E415ACD146BB2395ED0A2CA121</vt:lpwstr>
  </property>
</Properties>
</file>