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759B4AA8" w:rsidR="00356568" w:rsidRPr="001F60F4" w:rsidRDefault="001278E9"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April 30</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proofErr w:type="gramStart"/>
      <w:r w:rsidRPr="001F60F4">
        <w:rPr>
          <w:rFonts w:ascii="Times New Roman" w:eastAsia="Times New Roman" w:hAnsi="Times New Roman" w:cs="Times New Roman"/>
          <w:sz w:val="24"/>
          <w:szCs w:val="24"/>
        </w:rPr>
        <w:t>:</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proofErr w:type="gramEnd"/>
      <w:r w:rsidRPr="001F60F4">
        <w:rPr>
          <w:rFonts w:ascii="Times New Roman" w:eastAsia="Times New Roman" w:hAnsi="Times New Roman" w:cs="Times New Roman"/>
          <w:sz w:val="24"/>
          <w:szCs w:val="24"/>
        </w:rPr>
        <w:t>.</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0E8986BD"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CA4B5B" w:rsidRPr="00CA4B5B">
        <w:rPr>
          <w:rFonts w:ascii="Times New Roman" w:eastAsia="Times New Roman" w:hAnsi="Times New Roman" w:cs="Times New Roman"/>
          <w:sz w:val="24"/>
          <w:szCs w:val="24"/>
        </w:rPr>
        <w:t xml:space="preserve">TBK1001B St. Nick’s Alliance – </w:t>
      </w:r>
      <w:r w:rsidR="000E4E6F">
        <w:rPr>
          <w:rFonts w:ascii="Times New Roman" w:eastAsia="Times New Roman" w:hAnsi="Times New Roman" w:cs="Times New Roman"/>
          <w:sz w:val="24"/>
          <w:szCs w:val="24"/>
        </w:rPr>
        <w:t>984-988 Greene</w:t>
      </w:r>
      <w:r w:rsidR="00CA4B5B" w:rsidRPr="00CA4B5B">
        <w:rPr>
          <w:rFonts w:ascii="Times New Roman" w:eastAsia="Times New Roman" w:hAnsi="Times New Roman" w:cs="Times New Roman"/>
          <w:sz w:val="24"/>
          <w:szCs w:val="24"/>
        </w:rPr>
        <w:t xml:space="preserve"> </w:t>
      </w:r>
      <w:r w:rsidR="000E4E6F">
        <w:rPr>
          <w:rFonts w:ascii="Times New Roman" w:eastAsia="Times New Roman" w:hAnsi="Times New Roman" w:cs="Times New Roman"/>
          <w:sz w:val="24"/>
          <w:szCs w:val="24"/>
        </w:rPr>
        <w:t>Avenue</w:t>
      </w:r>
      <w:r w:rsidR="00CA4B5B" w:rsidRPr="00CA4B5B">
        <w:rPr>
          <w:rFonts w:ascii="Times New Roman" w:eastAsia="Times New Roman" w:hAnsi="Times New Roman" w:cs="Times New Roman"/>
          <w:sz w:val="24"/>
          <w:szCs w:val="24"/>
        </w:rPr>
        <w:t xml:space="preserve">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CA4B5B">
        <w:rPr>
          <w:rFonts w:ascii="Times New Roman" w:eastAsia="Times New Roman" w:hAnsi="Times New Roman" w:cs="Times New Roman"/>
          <w:sz w:val="24"/>
          <w:szCs w:val="24"/>
        </w:rPr>
        <w:t>3</w:t>
      </w:r>
      <w:r w:rsidR="000E4E6F">
        <w:rPr>
          <w:rFonts w:ascii="Times New Roman" w:eastAsia="Times New Roman" w:hAnsi="Times New Roman" w:cs="Times New Roman"/>
          <w:sz w:val="24"/>
          <w:szCs w:val="24"/>
        </w:rPr>
        <w:t>6</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75DF3791" w:rsidR="00A468AA" w:rsidRPr="001F60F4" w:rsidRDefault="00924183" w:rsidP="00A375CC">
      <w:pPr>
        <w:rPr>
          <w:rFonts w:ascii="Times New Roman" w:hAnsi="Times New Roman" w:cs="Times New Roman"/>
          <w:b/>
          <w:sz w:val="24"/>
          <w:szCs w:val="24"/>
          <w:u w:val="single"/>
        </w:rPr>
      </w:pPr>
      <w:r>
        <w:rPr>
          <w:rFonts w:ascii="Times New Roman" w:hAnsi="Times New Roman" w:cs="Times New Roman"/>
          <w:b/>
          <w:sz w:val="24"/>
          <w:szCs w:val="24"/>
          <w:u w:val="single"/>
        </w:rPr>
        <w:t xml:space="preserve">TBK1001B St. Nick’s Alliance – </w:t>
      </w:r>
      <w:r w:rsidR="000E4E6F">
        <w:rPr>
          <w:rFonts w:ascii="Times New Roman" w:hAnsi="Times New Roman" w:cs="Times New Roman"/>
          <w:b/>
          <w:sz w:val="24"/>
          <w:szCs w:val="24"/>
          <w:u w:val="single"/>
        </w:rPr>
        <w:t>984-988 Greene Avenue</w:t>
      </w:r>
    </w:p>
    <w:p w14:paraId="4C3539ED" w14:textId="3CA89614" w:rsidR="001278E9" w:rsidRDefault="008D36D2" w:rsidP="008D36D2">
      <w:pPr>
        <w:pStyle w:val="MediumGrid1-Accent21"/>
        <w:ind w:left="0"/>
      </w:pPr>
      <w:r w:rsidRPr="008D36D2">
        <w:rPr>
          <w:b/>
          <w:bCs/>
        </w:rPr>
        <w:t>Type of Exemption Requested:</w:t>
      </w:r>
      <w:r>
        <w:t xml:space="preserve"> </w:t>
      </w:r>
      <w:r w:rsidR="00424174">
        <w:t>Full</w:t>
      </w:r>
      <w:r w:rsidR="001278E9">
        <w:t xml:space="preserve"> Article </w:t>
      </w:r>
      <w:r w:rsidR="00B21C77">
        <w:t>XI</w:t>
      </w:r>
      <w:r w:rsidR="001278E9">
        <w:t xml:space="preserve"> Exemption</w:t>
      </w:r>
    </w:p>
    <w:p w14:paraId="548B9A80" w14:textId="77777777" w:rsidR="001278E9" w:rsidRDefault="001278E9" w:rsidP="008D36D2">
      <w:pPr>
        <w:pStyle w:val="MediumGrid1-Accent21"/>
        <w:ind w:left="0"/>
      </w:pPr>
    </w:p>
    <w:p w14:paraId="554C9FB3" w14:textId="7D25190D" w:rsidR="000E4E6F" w:rsidRDefault="000E4E6F" w:rsidP="000E4E6F">
      <w:pPr>
        <w:pStyle w:val="MediumGrid1-Accent21"/>
        <w:ind w:left="0"/>
      </w:pPr>
      <w:r>
        <w:t xml:space="preserve">TBK1001B St. Nicks Alliance – 984-988 Greene Avenue (the “Project”) consists of two contiguous buildings on one lot in Bedford-Stuyvesant in Brooklyn containing 32 residential units. There are 2 one-bedrooms, 2 two-bedrooms (one of which is reserved for a superintendent), and 28 three-bedrooms. There are neither community facilities nor commercial spaces. The Project is sponsored and managed by St. Nick’s Alliance Corporation (the “Sponsor”); a non-profit organization located in Brooklyn. The Project is currently owned and managed by Greene Avenue SNA Housing Development Fund Corporation (“HDFC”). The HDFC acquired the property on November 15, 2024, as a condition of a bankruptcy settlement agreement with the previous owner. As part of the closing, </w:t>
      </w:r>
      <w:proofErr w:type="gramStart"/>
      <w:r>
        <w:t>the HDFC</w:t>
      </w:r>
      <w:proofErr w:type="gramEnd"/>
      <w:r>
        <w:t xml:space="preserve"> will remain as the owner. </w:t>
      </w:r>
    </w:p>
    <w:p w14:paraId="77976F44" w14:textId="77777777" w:rsidR="000E4E6F" w:rsidRDefault="000E4E6F" w:rsidP="000E4E6F">
      <w:pPr>
        <w:pStyle w:val="MediumGrid1-Accent21"/>
      </w:pPr>
    </w:p>
    <w:p w14:paraId="750016C1" w14:textId="77777777" w:rsidR="000E4E6F" w:rsidRDefault="000E4E6F" w:rsidP="000E4E6F">
      <w:pPr>
        <w:pStyle w:val="MediumGrid1-Accent21"/>
        <w:ind w:left="0"/>
      </w:pPr>
      <w:r>
        <w:t xml:space="preserve">The buildings will be a part of a larger financing closing with HPD, which will fund rehabilitation work for these Greene Avenue buildings plus two Third Party Transfer (“TPT”) Program buildings (19 Kingsland Avenue and 15 Harman Street) that St. Nicks also is the sponsor for. The two Greene Avenue buildings are requesting a full 40-year Article XI tax exemption through a 40-year HPD Regulatory Agreement for the substantial rehabilitation of the properties and preservation of affordability. The Regulatory Agreement, which is for the entire cluster of 44 units, will restrict income and rent, as well as include a 15% homeless referral </w:t>
      </w:r>
      <w:proofErr w:type="gramStart"/>
      <w:r>
        <w:t>set-aside</w:t>
      </w:r>
      <w:proofErr w:type="gramEnd"/>
      <w:r>
        <w:t xml:space="preserve"> (7 units). There will also be Aging-In-Place work added to the construction scope. The scope of work includes heating electrification, exterior masonry work, replacing doors, new cabinetry, electric stoves, window replacement, and new insulation.</w:t>
      </w:r>
    </w:p>
    <w:p w14:paraId="087764F0" w14:textId="77777777" w:rsidR="000E4E6F" w:rsidRDefault="000E4E6F" w:rsidP="000E4E6F">
      <w:pPr>
        <w:pStyle w:val="MediumGrid1-Accent21"/>
        <w:ind w:left="0"/>
      </w:pPr>
    </w:p>
    <w:p w14:paraId="024145AE" w14:textId="1F75E24D" w:rsidR="00606865" w:rsidRPr="007E4431" w:rsidRDefault="00DF74A3" w:rsidP="000E4E6F">
      <w:pPr>
        <w:pStyle w:val="MediumGrid1-Accent21"/>
        <w:ind w:left="0"/>
        <w:rPr>
          <w:u w:val="single"/>
        </w:rPr>
      </w:pPr>
      <w:r>
        <w:rPr>
          <w:rFonts w:eastAsia="Arial"/>
          <w:u w:val="single"/>
        </w:rPr>
        <w:lastRenderedPageBreak/>
        <w:br/>
      </w:r>
      <w:r w:rsidR="00606865" w:rsidRPr="007E4431">
        <w:rPr>
          <w:u w:val="single"/>
        </w:rPr>
        <w:t xml:space="preserve">Summary: </w:t>
      </w:r>
    </w:p>
    <w:p w14:paraId="1D1AD631" w14:textId="1B8D44AF"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CA4B5B">
        <w:rPr>
          <w:rFonts w:ascii="Times New Roman" w:hAnsi="Times New Roman" w:cs="Times New Roman"/>
          <w:sz w:val="24"/>
          <w:szCs w:val="24"/>
        </w:rPr>
        <w:t>Brooklyn</w:t>
      </w:r>
    </w:p>
    <w:p w14:paraId="5BCE735B" w14:textId="4F6871C1" w:rsidR="00CA4B5B" w:rsidRDefault="00CA4B5B" w:rsidP="00606865">
      <w:pPr>
        <w:pStyle w:val="ListParagraph"/>
        <w:numPr>
          <w:ilvl w:val="0"/>
          <w:numId w:val="1"/>
        </w:numPr>
        <w:rPr>
          <w:rFonts w:ascii="Times New Roman" w:hAnsi="Times New Roman" w:cs="Times New Roman"/>
          <w:sz w:val="24"/>
          <w:szCs w:val="24"/>
        </w:rPr>
      </w:pPr>
      <w:r w:rsidRPr="00CA4B5B">
        <w:rPr>
          <w:rFonts w:ascii="Times New Roman" w:hAnsi="Times New Roman" w:cs="Times New Roman"/>
          <w:sz w:val="24"/>
          <w:szCs w:val="24"/>
        </w:rPr>
        <w:t xml:space="preserve">Block </w:t>
      </w:r>
      <w:r w:rsidR="000E4E6F">
        <w:rPr>
          <w:rFonts w:ascii="Times New Roman" w:hAnsi="Times New Roman" w:cs="Times New Roman"/>
          <w:sz w:val="24"/>
          <w:szCs w:val="24"/>
        </w:rPr>
        <w:t>1622</w:t>
      </w:r>
      <w:r w:rsidRPr="00CA4B5B">
        <w:rPr>
          <w:rFonts w:ascii="Times New Roman" w:hAnsi="Times New Roman" w:cs="Times New Roman"/>
          <w:sz w:val="24"/>
          <w:szCs w:val="24"/>
        </w:rPr>
        <w:t xml:space="preserve">, Lot </w:t>
      </w:r>
      <w:r w:rsidR="000E4E6F">
        <w:rPr>
          <w:rFonts w:ascii="Times New Roman" w:hAnsi="Times New Roman" w:cs="Times New Roman"/>
          <w:sz w:val="24"/>
          <w:szCs w:val="24"/>
        </w:rPr>
        <w:t>34</w:t>
      </w:r>
      <w:r w:rsidRPr="00CA4B5B">
        <w:rPr>
          <w:rFonts w:ascii="Times New Roman" w:hAnsi="Times New Roman" w:cs="Times New Roman"/>
          <w:sz w:val="24"/>
          <w:szCs w:val="24"/>
        </w:rPr>
        <w:t xml:space="preserve"> </w:t>
      </w:r>
    </w:p>
    <w:p w14:paraId="76645B9F" w14:textId="5FA47C50"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0E4E6F">
        <w:rPr>
          <w:rFonts w:ascii="Times New Roman" w:hAnsi="Times New Roman" w:cs="Times New Roman"/>
          <w:sz w:val="24"/>
          <w:szCs w:val="24"/>
        </w:rPr>
        <w:t>Oss</w:t>
      </w:r>
      <w:r w:rsidR="000E4E6F" w:rsidRPr="000E4E6F">
        <w:rPr>
          <w:rFonts w:ascii="Times New Roman" w:hAnsi="Times New Roman" w:cs="Times New Roman"/>
          <w:sz w:val="24"/>
          <w:szCs w:val="24"/>
        </w:rPr>
        <w:t>é</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1C0D48B7"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0E4E6F">
        <w:rPr>
          <w:rFonts w:ascii="Times New Roman" w:hAnsi="Times New Roman" w:cs="Times New Roman"/>
          <w:sz w:val="24"/>
          <w:szCs w:val="24"/>
        </w:rPr>
        <w:t>2</w:t>
      </w:r>
    </w:p>
    <w:p w14:paraId="437D6B5F" w14:textId="12B5277B"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w:t>
      </w:r>
      <w:r w:rsidR="000E4E6F">
        <w:rPr>
          <w:rFonts w:ascii="Times New Roman" w:hAnsi="Times New Roman" w:cs="Times New Roman"/>
          <w:sz w:val="24"/>
          <w:szCs w:val="24"/>
        </w:rPr>
        <w:t>32</w:t>
      </w:r>
      <w:r w:rsidR="00AA16C6">
        <w:rPr>
          <w:rFonts w:ascii="Times New Roman" w:hAnsi="Times New Roman" w:cs="Times New Roman"/>
          <w:sz w:val="24"/>
          <w:szCs w:val="24"/>
        </w:rPr>
        <w:t xml:space="preserve"> residential</w:t>
      </w:r>
    </w:p>
    <w:p w14:paraId="3ABC5698" w14:textId="4C1C6F29" w:rsidR="00CA4B5B" w:rsidRPr="000E4E6F" w:rsidRDefault="0014209D" w:rsidP="00CA4B5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CA4B5B">
        <w:rPr>
          <w:rFonts w:ascii="Times New Roman" w:hAnsi="Times New Roman" w:cs="Times New Roman"/>
          <w:sz w:val="24"/>
          <w:szCs w:val="24"/>
        </w:rPr>
        <w:t xml:space="preserve">full, </w:t>
      </w:r>
      <w:r w:rsidR="000E4E6F">
        <w:rPr>
          <w:rFonts w:ascii="Times New Roman" w:hAnsi="Times New Roman" w:cs="Times New Roman"/>
          <w:sz w:val="24"/>
          <w:szCs w:val="24"/>
        </w:rPr>
        <w:t>40</w:t>
      </w:r>
      <w:r w:rsidR="00CA4B5B">
        <w:rPr>
          <w:rFonts w:ascii="Times New Roman" w:hAnsi="Times New Roman" w:cs="Times New Roman"/>
          <w:sz w:val="24"/>
          <w:szCs w:val="24"/>
        </w:rPr>
        <w:t xml:space="preserve"> years</w:t>
      </w: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0CEAE10F" w:rsidR="00AA16C6" w:rsidRPr="00CA4B5B" w:rsidRDefault="00606865" w:rsidP="00CA4B5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CA4B5B" w:rsidRPr="00CA4B5B">
        <w:rPr>
          <w:rFonts w:ascii="Times New Roman" w:hAnsi="Times New Roman" w:cs="Times New Roman"/>
          <w:sz w:val="24"/>
          <w:szCs w:val="24"/>
        </w:rPr>
        <w:t xml:space="preserve">St. Nick’s Alliance Corporation </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7BE59AC3"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0E4E6F">
        <w:rPr>
          <w:rFonts w:ascii="Times New Roman" w:hAnsi="Times New Roman" w:cs="Times New Roman"/>
          <w:sz w:val="24"/>
          <w:szCs w:val="24"/>
        </w:rPr>
        <w:t>3,931,752</w:t>
      </w:r>
      <w:r w:rsidR="00CA4B5B">
        <w:rPr>
          <w:rFonts w:ascii="Times New Roman" w:hAnsi="Times New Roman" w:cs="Times New Roman"/>
          <w:sz w:val="24"/>
          <w:szCs w:val="24"/>
        </w:rPr>
        <w:t xml:space="preserve"> </w:t>
      </w:r>
      <w:r>
        <w:rPr>
          <w:rFonts w:ascii="Times New Roman" w:hAnsi="Times New Roman" w:cs="Times New Roman"/>
          <w:sz w:val="24"/>
          <w:szCs w:val="24"/>
        </w:rPr>
        <w:t>(present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5A2B095B"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0E4E6F">
        <w:rPr>
          <w:rFonts w:ascii="Times New Roman" w:hAnsi="Times New Roman" w:cs="Times New Roman"/>
          <w:sz w:val="24"/>
          <w:szCs w:val="24"/>
        </w:rPr>
        <w:t>120</w:t>
      </w:r>
    </w:p>
    <w:p w14:paraId="32519BFE" w14:textId="1484B010"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0E4E6F">
        <w:rPr>
          <w:rFonts w:ascii="Times New Roman" w:hAnsi="Times New Roman" w:cs="Times New Roman"/>
          <w:sz w:val="24"/>
          <w:szCs w:val="24"/>
        </w:rPr>
        <w:t>455</w:t>
      </w:r>
    </w:p>
    <w:p w14:paraId="2ADB31CA" w14:textId="37EEE01F"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0E4E6F">
        <w:rPr>
          <w:rFonts w:ascii="Times New Roman" w:hAnsi="Times New Roman" w:cs="Times New Roman"/>
          <w:sz w:val="24"/>
          <w:szCs w:val="24"/>
        </w:rPr>
        <w:t>196</w:t>
      </w:r>
      <w:r w:rsidR="000E4E6F">
        <w:rPr>
          <w:rFonts w:ascii="Times New Roman" w:hAnsi="Times New Roman" w:cs="Times New Roman"/>
          <w:sz w:val="24"/>
          <w:szCs w:val="24"/>
        </w:rPr>
        <w:br/>
      </w:r>
    </w:p>
    <w:p w14:paraId="0FB94D18" w14:textId="6218CA0C" w:rsidR="00CA4B5B" w:rsidRPr="00CA4B5B" w:rsidRDefault="000E4E6F" w:rsidP="00CA4B5B">
      <w:pPr>
        <w:rPr>
          <w:rFonts w:ascii="Times New Roman" w:hAnsi="Times New Roman" w:cs="Times New Roman"/>
          <w:sz w:val="24"/>
          <w:szCs w:val="24"/>
        </w:rPr>
      </w:pPr>
      <w:r w:rsidRPr="000E4E6F">
        <w:rPr>
          <w:rFonts w:ascii="Times New Roman" w:hAnsi="Times New Roman" w:cs="Times New Roman"/>
          <w:sz w:val="24"/>
          <w:szCs w:val="24"/>
        </w:rPr>
        <w:t xml:space="preserve">The Sponsor will work to </w:t>
      </w:r>
      <w:proofErr w:type="gramStart"/>
      <w:r w:rsidRPr="000E4E6F">
        <w:rPr>
          <w:rFonts w:ascii="Times New Roman" w:hAnsi="Times New Roman" w:cs="Times New Roman"/>
          <w:sz w:val="24"/>
          <w:szCs w:val="24"/>
        </w:rPr>
        <w:t>clear</w:t>
      </w:r>
      <w:proofErr w:type="gramEnd"/>
      <w:r w:rsidRPr="000E4E6F">
        <w:rPr>
          <w:rFonts w:ascii="Times New Roman" w:hAnsi="Times New Roman" w:cs="Times New Roman"/>
          <w:sz w:val="24"/>
          <w:szCs w:val="24"/>
        </w:rPr>
        <w:t xml:space="preserve"> all violations upon closing of the construction loan.</w:t>
      </w:r>
      <w:r>
        <w:rPr>
          <w:rFonts w:ascii="Times New Roman" w:hAnsi="Times New Roman" w:cs="Times New Roman"/>
          <w:sz w:val="24"/>
          <w:szCs w:val="24"/>
        </w:rPr>
        <w:br/>
      </w:r>
    </w:p>
    <w:p w14:paraId="304CF600" w14:textId="5D1C2A29"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0E4E6F">
        <w:rPr>
          <w:rFonts w:ascii="Times New Roman" w:hAnsi="Times New Roman" w:cs="Times New Roman"/>
          <w:sz w:val="24"/>
          <w:szCs w:val="24"/>
        </w:rPr>
        <w:t>50, 60, 80</w:t>
      </w:r>
      <w:r w:rsidR="0014209D">
        <w:rPr>
          <w:rFonts w:ascii="Times New Roman" w:hAnsi="Times New Roman" w:cs="Times New Roman"/>
          <w:sz w:val="24"/>
          <w:szCs w:val="24"/>
        </w:rPr>
        <w:t>%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44BC" w14:textId="77777777" w:rsidR="00AD23B5" w:rsidRDefault="00AD23B5" w:rsidP="00AD23B5">
      <w:r>
        <w:separator/>
      </w:r>
    </w:p>
  </w:endnote>
  <w:endnote w:type="continuationSeparator" w:id="0">
    <w:p w14:paraId="57A0F63A" w14:textId="77777777" w:rsidR="00AD23B5" w:rsidRDefault="00AD23B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191B" w14:textId="77777777" w:rsidR="00AD23B5" w:rsidRDefault="00AD23B5" w:rsidP="00AD23B5">
      <w:r>
        <w:separator/>
      </w:r>
    </w:p>
  </w:footnote>
  <w:footnote w:type="continuationSeparator" w:id="0">
    <w:p w14:paraId="34B89A7A" w14:textId="77777777" w:rsidR="00AD23B5" w:rsidRDefault="00AD23B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0E4E6F"/>
    <w:rsid w:val="001278E9"/>
    <w:rsid w:val="00140F84"/>
    <w:rsid w:val="0014209D"/>
    <w:rsid w:val="001546F6"/>
    <w:rsid w:val="00160CD3"/>
    <w:rsid w:val="0016505C"/>
    <w:rsid w:val="001A2DC3"/>
    <w:rsid w:val="001A4DAA"/>
    <w:rsid w:val="001D2C9D"/>
    <w:rsid w:val="001E7D02"/>
    <w:rsid w:val="001F60F4"/>
    <w:rsid w:val="002244F4"/>
    <w:rsid w:val="00234E1A"/>
    <w:rsid w:val="00241E0F"/>
    <w:rsid w:val="00243912"/>
    <w:rsid w:val="00252DE1"/>
    <w:rsid w:val="00264194"/>
    <w:rsid w:val="002B1EA7"/>
    <w:rsid w:val="00303D45"/>
    <w:rsid w:val="003261F2"/>
    <w:rsid w:val="00337B4E"/>
    <w:rsid w:val="00355C28"/>
    <w:rsid w:val="00356568"/>
    <w:rsid w:val="00363AF4"/>
    <w:rsid w:val="0036638D"/>
    <w:rsid w:val="003A2620"/>
    <w:rsid w:val="003B406D"/>
    <w:rsid w:val="003F3943"/>
    <w:rsid w:val="003F3FA4"/>
    <w:rsid w:val="003F55C5"/>
    <w:rsid w:val="0041334D"/>
    <w:rsid w:val="00415B68"/>
    <w:rsid w:val="00424174"/>
    <w:rsid w:val="00426FE3"/>
    <w:rsid w:val="004378D5"/>
    <w:rsid w:val="004538A1"/>
    <w:rsid w:val="00460F53"/>
    <w:rsid w:val="0046675A"/>
    <w:rsid w:val="00484819"/>
    <w:rsid w:val="004B0461"/>
    <w:rsid w:val="004B1F3F"/>
    <w:rsid w:val="004D3B89"/>
    <w:rsid w:val="004F57F2"/>
    <w:rsid w:val="00533190"/>
    <w:rsid w:val="005449C7"/>
    <w:rsid w:val="00562626"/>
    <w:rsid w:val="00580AC3"/>
    <w:rsid w:val="005D3EE3"/>
    <w:rsid w:val="005E4469"/>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E4431"/>
    <w:rsid w:val="008006C1"/>
    <w:rsid w:val="00814C2D"/>
    <w:rsid w:val="0081626E"/>
    <w:rsid w:val="00817ECE"/>
    <w:rsid w:val="0085421C"/>
    <w:rsid w:val="00871224"/>
    <w:rsid w:val="008772EE"/>
    <w:rsid w:val="008927F0"/>
    <w:rsid w:val="008C1F35"/>
    <w:rsid w:val="008C53A4"/>
    <w:rsid w:val="008D36D2"/>
    <w:rsid w:val="008E62B6"/>
    <w:rsid w:val="009016B9"/>
    <w:rsid w:val="00906A1C"/>
    <w:rsid w:val="0092293C"/>
    <w:rsid w:val="00924183"/>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D23B5"/>
    <w:rsid w:val="00B013E6"/>
    <w:rsid w:val="00B16118"/>
    <w:rsid w:val="00B21C77"/>
    <w:rsid w:val="00B26E3A"/>
    <w:rsid w:val="00B321AB"/>
    <w:rsid w:val="00B51AEE"/>
    <w:rsid w:val="00B74FC8"/>
    <w:rsid w:val="00B90454"/>
    <w:rsid w:val="00B967EA"/>
    <w:rsid w:val="00BB296E"/>
    <w:rsid w:val="00BF3666"/>
    <w:rsid w:val="00BF6434"/>
    <w:rsid w:val="00C41285"/>
    <w:rsid w:val="00C801F0"/>
    <w:rsid w:val="00CA4B5B"/>
    <w:rsid w:val="00CC37CA"/>
    <w:rsid w:val="00CE2729"/>
    <w:rsid w:val="00D307EE"/>
    <w:rsid w:val="00D42199"/>
    <w:rsid w:val="00D939F9"/>
    <w:rsid w:val="00DB2CA4"/>
    <w:rsid w:val="00DC7180"/>
    <w:rsid w:val="00DF74A3"/>
    <w:rsid w:val="00E02586"/>
    <w:rsid w:val="00E11D75"/>
    <w:rsid w:val="00E1783C"/>
    <w:rsid w:val="00E33F9A"/>
    <w:rsid w:val="00ED79E4"/>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2368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2026-04-29T16:49:00Z</cp:lastPrinted>
  <dcterms:created xsi:type="dcterms:W3CDTF">2026-04-29T17:02:00Z</dcterms:created>
  <dcterms:modified xsi:type="dcterms:W3CDTF">2026-04-29T17:02:00Z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