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759B4AA8" w:rsidR="00356568" w:rsidRPr="001F60F4" w:rsidRDefault="001278E9"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April 30</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proofErr w:type="gramStart"/>
      <w:r w:rsidRPr="001F60F4">
        <w:rPr>
          <w:rFonts w:ascii="Times New Roman" w:eastAsia="Times New Roman" w:hAnsi="Times New Roman" w:cs="Times New Roman"/>
          <w:sz w:val="24"/>
          <w:szCs w:val="24"/>
        </w:rPr>
        <w:t>:</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proofErr w:type="gramEnd"/>
      <w:r w:rsidRPr="001F60F4">
        <w:rPr>
          <w:rFonts w:ascii="Times New Roman" w:eastAsia="Times New Roman" w:hAnsi="Times New Roman" w:cs="Times New Roman"/>
          <w:sz w:val="24"/>
          <w:szCs w:val="24"/>
        </w:rPr>
        <w:t>.</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0EE40984"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1278E9">
        <w:rPr>
          <w:rFonts w:ascii="Times New Roman" w:eastAsia="Times New Roman" w:hAnsi="Times New Roman" w:cs="Times New Roman"/>
          <w:sz w:val="24"/>
          <w:szCs w:val="24"/>
        </w:rPr>
        <w:t>Hudson</w:t>
      </w:r>
      <w:r w:rsidR="003907B4">
        <w:rPr>
          <w:rFonts w:ascii="Times New Roman" w:eastAsia="Times New Roman" w:hAnsi="Times New Roman" w:cs="Times New Roman"/>
          <w:sz w:val="24"/>
          <w:szCs w:val="24"/>
        </w:rPr>
        <w:t xml:space="preserve"> View</w:t>
      </w:r>
      <w:r w:rsidR="001278E9">
        <w:rPr>
          <w:rFonts w:ascii="Times New Roman" w:eastAsia="Times New Roman" w:hAnsi="Times New Roman" w:cs="Times New Roman"/>
          <w:sz w:val="24"/>
          <w:szCs w:val="24"/>
        </w:rPr>
        <w:t xml:space="preserve"> II</w:t>
      </w:r>
      <w:r w:rsidR="00817ECE" w:rsidRPr="001F60F4">
        <w:rPr>
          <w:rFonts w:ascii="Times New Roman" w:eastAsia="Times New Roman" w:hAnsi="Times New Roman" w:cs="Times New Roman"/>
          <w:sz w:val="24"/>
          <w:szCs w:val="24"/>
        </w:rPr>
        <w:t xml:space="preserve"> (Council District</w:t>
      </w:r>
      <w:r w:rsidR="003F3943">
        <w:rPr>
          <w:rFonts w:ascii="Times New Roman" w:eastAsia="Times New Roman" w:hAnsi="Times New Roman" w:cs="Times New Roman"/>
          <w:sz w:val="24"/>
          <w:szCs w:val="24"/>
        </w:rPr>
        <w:t xml:space="preserve"> </w:t>
      </w:r>
      <w:r w:rsidR="001278E9">
        <w:rPr>
          <w:rFonts w:ascii="Times New Roman" w:eastAsia="Times New Roman" w:hAnsi="Times New Roman" w:cs="Times New Roman"/>
          <w:sz w:val="24"/>
          <w:szCs w:val="24"/>
        </w:rPr>
        <w:t>7</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41310E2B" w:rsidR="00A468AA" w:rsidRPr="001F60F4" w:rsidRDefault="001278E9" w:rsidP="00A375CC">
      <w:pPr>
        <w:rPr>
          <w:rFonts w:ascii="Times New Roman" w:hAnsi="Times New Roman" w:cs="Times New Roman"/>
          <w:b/>
          <w:sz w:val="24"/>
          <w:szCs w:val="24"/>
          <w:u w:val="single"/>
        </w:rPr>
      </w:pPr>
      <w:r>
        <w:rPr>
          <w:rFonts w:ascii="Times New Roman" w:hAnsi="Times New Roman" w:cs="Times New Roman"/>
          <w:b/>
          <w:sz w:val="24"/>
          <w:szCs w:val="24"/>
          <w:u w:val="single"/>
        </w:rPr>
        <w:t xml:space="preserve">Hudson </w:t>
      </w:r>
      <w:r w:rsidR="003907B4">
        <w:rPr>
          <w:rFonts w:ascii="Times New Roman" w:hAnsi="Times New Roman" w:cs="Times New Roman"/>
          <w:b/>
          <w:sz w:val="24"/>
          <w:szCs w:val="24"/>
          <w:u w:val="single"/>
        </w:rPr>
        <w:t xml:space="preserve">View </w:t>
      </w:r>
      <w:r>
        <w:rPr>
          <w:rFonts w:ascii="Times New Roman" w:hAnsi="Times New Roman" w:cs="Times New Roman"/>
          <w:b/>
          <w:sz w:val="24"/>
          <w:szCs w:val="24"/>
          <w:u w:val="single"/>
        </w:rPr>
        <w:t>II</w:t>
      </w:r>
    </w:p>
    <w:p w14:paraId="4C3539ED" w14:textId="77777777" w:rsidR="001278E9" w:rsidRDefault="008D36D2" w:rsidP="008D36D2">
      <w:pPr>
        <w:pStyle w:val="MediumGrid1-Accent21"/>
        <w:ind w:left="0"/>
      </w:pPr>
      <w:r w:rsidRPr="008D36D2">
        <w:rPr>
          <w:b/>
          <w:bCs/>
        </w:rPr>
        <w:t>Type of Exemption Requested:</w:t>
      </w:r>
      <w:r>
        <w:t xml:space="preserve"> </w:t>
      </w:r>
      <w:r w:rsidR="001278E9">
        <w:t>Partial Article XI Exemption</w:t>
      </w:r>
    </w:p>
    <w:p w14:paraId="548B9A80" w14:textId="77777777" w:rsidR="001278E9" w:rsidRDefault="001278E9" w:rsidP="008D36D2">
      <w:pPr>
        <w:pStyle w:val="MediumGrid1-Accent21"/>
        <w:ind w:left="0"/>
      </w:pPr>
    </w:p>
    <w:p w14:paraId="100F8706" w14:textId="77777777" w:rsidR="001278E9" w:rsidRPr="001278E9" w:rsidRDefault="001278E9" w:rsidP="001278E9">
      <w:pPr>
        <w:pStyle w:val="MediumGrid1-Accent21"/>
        <w:ind w:left="0"/>
      </w:pPr>
      <w:r w:rsidRPr="001278E9">
        <w:t xml:space="preserve">Hudson View II (the “Project”) consists of two buildings built in 1915 and 1920, located in the Hamilton Heights neighborhood of Manhattan, containing 74 residential units: 1 studio, 17 one-bedrooms (including 1 superintendent’s unit), 35 two-bedrooms, and 21 three-bedrooms. The Project also contains 5 commercial spaces located on the ground floor. The Project is currently subject to a HUD Project-Based Section 8 Housing Assistance Payment (HAP) contract under the Mark-Up-To-Market program, which covers all residential units except the </w:t>
      </w:r>
      <w:proofErr w:type="gramStart"/>
      <w:r w:rsidRPr="001278E9">
        <w:t>superintendent’s</w:t>
      </w:r>
      <w:proofErr w:type="gramEnd"/>
      <w:r w:rsidRPr="001278E9">
        <w:t xml:space="preserve"> unit. Under the terms of this federal subsidy program, residents generally pay approximately 30% of household income toward rent, with the balance subsidized by the U.S. Department of Housing and Urban Development (HUD). The original HAP contract was issued on June 9, 1980, and has been renewed periodically since that time.</w:t>
      </w:r>
    </w:p>
    <w:p w14:paraId="3EBBBC7C" w14:textId="77777777" w:rsidR="001278E9" w:rsidRPr="001278E9" w:rsidRDefault="001278E9" w:rsidP="001278E9">
      <w:pPr>
        <w:pStyle w:val="MediumGrid1-Accent21"/>
      </w:pPr>
    </w:p>
    <w:p w14:paraId="433AA994" w14:textId="77777777" w:rsidR="001278E9" w:rsidRPr="001278E9" w:rsidRDefault="001278E9" w:rsidP="001278E9">
      <w:pPr>
        <w:pStyle w:val="MediumGrid1-Accent21"/>
        <w:ind w:left="0"/>
      </w:pPr>
      <w:r w:rsidRPr="001278E9">
        <w:t xml:space="preserve">The Project is requesting a partial 40-year Article XI tax exemption. The exemption will set taxes equal to a 12% gross rent base plus 25% of contract rent increases after closing (“Contract Rent Differential Tax” or “CRDT”). </w:t>
      </w:r>
      <w:proofErr w:type="gramStart"/>
      <w:r w:rsidRPr="001278E9">
        <w:t>The CRDT</w:t>
      </w:r>
      <w:proofErr w:type="gramEnd"/>
      <w:r w:rsidRPr="001278E9">
        <w:t xml:space="preserve"> will be capped at the lesser </w:t>
      </w:r>
      <w:proofErr w:type="gramStart"/>
      <w:r w:rsidRPr="001278E9">
        <w:t>of:</w:t>
      </w:r>
      <w:proofErr w:type="gramEnd"/>
      <w:r w:rsidRPr="001278E9">
        <w:t xml:space="preserve"> 17% of contract rents, </w:t>
      </w:r>
      <w:proofErr w:type="gramStart"/>
      <w:r w:rsidRPr="001278E9">
        <w:t>or  the</w:t>
      </w:r>
      <w:proofErr w:type="gramEnd"/>
      <w:r w:rsidRPr="001278E9">
        <w:t xml:space="preserve"> amount of full real property taxes otherwise due without </w:t>
      </w:r>
      <w:proofErr w:type="gramStart"/>
      <w:r w:rsidRPr="001278E9">
        <w:t>the exemption</w:t>
      </w:r>
      <w:proofErr w:type="gramEnd"/>
      <w:r w:rsidRPr="001278E9">
        <w:t xml:space="preserve">.  </w:t>
      </w:r>
    </w:p>
    <w:p w14:paraId="3C886603" w14:textId="77777777" w:rsidR="001278E9" w:rsidRPr="001278E9" w:rsidRDefault="001278E9" w:rsidP="001278E9">
      <w:pPr>
        <w:pStyle w:val="MediumGrid1-Accent21"/>
        <w:ind w:left="0"/>
      </w:pPr>
    </w:p>
    <w:p w14:paraId="57BE535C" w14:textId="77777777" w:rsidR="001278E9" w:rsidRPr="001278E9" w:rsidRDefault="001278E9" w:rsidP="001278E9">
      <w:pPr>
        <w:pStyle w:val="MediumGrid1-Accent21"/>
        <w:ind w:left="0"/>
      </w:pPr>
      <w:r w:rsidRPr="001278E9">
        <w:t>The Project is currently under contract for sale to an entity affiliated with Metropolitan Realty Group of New York. Upon closing, ownership will be transferred to: Hudson View II Housing Development Fund Corporation (Legal Owner) and Hudson View II Owner LLC (Beneficial Owner).</w:t>
      </w:r>
    </w:p>
    <w:p w14:paraId="3B90DB32" w14:textId="77777777" w:rsidR="001278E9" w:rsidRPr="001278E9" w:rsidRDefault="001278E9" w:rsidP="001278E9">
      <w:pPr>
        <w:pStyle w:val="MediumGrid1-Accent21"/>
        <w:ind w:left="0"/>
      </w:pPr>
    </w:p>
    <w:p w14:paraId="38353BF7" w14:textId="77777777" w:rsidR="001278E9" w:rsidRDefault="001278E9" w:rsidP="001278E9">
      <w:pPr>
        <w:pStyle w:val="MediumGrid1-Accent21"/>
        <w:ind w:left="0"/>
      </w:pPr>
      <w:r w:rsidRPr="001278E9">
        <w:t xml:space="preserve">At closing, the Project will enter into a 40-year regulatory agreement with HPD. Among other things, every other vacant unit will be set aside for homeless tenants until 30% (23 units) of the </w:t>
      </w:r>
      <w:r w:rsidRPr="001278E9">
        <w:lastRenderedPageBreak/>
        <w:t xml:space="preserve">Project is rented to formerly homeless households. The Project will provide broadband internet access via </w:t>
      </w:r>
      <w:proofErr w:type="spellStart"/>
      <w:r w:rsidRPr="001278E9">
        <w:t>WiFi</w:t>
      </w:r>
      <w:proofErr w:type="spellEnd"/>
      <w:r w:rsidRPr="001278E9">
        <w:t xml:space="preserve"> in units and common </w:t>
      </w:r>
      <w:proofErr w:type="gramStart"/>
      <w:r w:rsidRPr="001278E9">
        <w:t>area</w:t>
      </w:r>
      <w:proofErr w:type="gramEnd"/>
      <w:r w:rsidRPr="001278E9">
        <w:t xml:space="preserve"> and will make improvements under HPD’s Aging-in-Place (AIP) initiative. As part of this transaction, the Project will undergo significant capital work, including full renovation of kitchens and bathrooms in all units, new flooring in all common areas, a new intercom system, replacement of all mailboxes, and new energy-efficient LED lighting throughout the properties.</w:t>
      </w:r>
    </w:p>
    <w:p w14:paraId="024145AE" w14:textId="21AB003F" w:rsidR="00606865" w:rsidRPr="007E4431" w:rsidRDefault="00DF74A3" w:rsidP="001278E9">
      <w:pPr>
        <w:pStyle w:val="MediumGrid1-Accent21"/>
        <w:ind w:left="0"/>
        <w:rPr>
          <w:u w:val="single"/>
        </w:rPr>
      </w:pPr>
      <w:r>
        <w:rPr>
          <w:rFonts w:eastAsia="Arial"/>
          <w:u w:val="single"/>
        </w:rPr>
        <w:br/>
      </w:r>
      <w:r w:rsidR="00606865" w:rsidRPr="007E4431">
        <w:rPr>
          <w:u w:val="single"/>
        </w:rPr>
        <w:t xml:space="preserve">Summary: </w:t>
      </w:r>
    </w:p>
    <w:p w14:paraId="1D1AD631" w14:textId="5C30DED6"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3F3943">
        <w:rPr>
          <w:rFonts w:ascii="Times New Roman" w:hAnsi="Times New Roman" w:cs="Times New Roman"/>
          <w:sz w:val="24"/>
          <w:szCs w:val="24"/>
        </w:rPr>
        <w:t>Manhattan</w:t>
      </w:r>
    </w:p>
    <w:p w14:paraId="6FD0123F" w14:textId="6A926071" w:rsidR="001278E9" w:rsidRDefault="001278E9" w:rsidP="00606865">
      <w:pPr>
        <w:pStyle w:val="ListParagraph"/>
        <w:numPr>
          <w:ilvl w:val="0"/>
          <w:numId w:val="1"/>
        </w:numPr>
        <w:rPr>
          <w:rFonts w:ascii="Times New Roman" w:hAnsi="Times New Roman" w:cs="Times New Roman"/>
          <w:sz w:val="24"/>
          <w:szCs w:val="24"/>
        </w:rPr>
      </w:pPr>
      <w:r w:rsidRPr="001278E9">
        <w:rPr>
          <w:rFonts w:ascii="Times New Roman" w:hAnsi="Times New Roman" w:cs="Times New Roman"/>
          <w:sz w:val="24"/>
          <w:szCs w:val="24"/>
        </w:rPr>
        <w:t>Block 2076, Lot</w:t>
      </w:r>
      <w:r w:rsidR="00CB53FA">
        <w:rPr>
          <w:rFonts w:ascii="Times New Roman" w:hAnsi="Times New Roman" w:cs="Times New Roman"/>
          <w:sz w:val="24"/>
          <w:szCs w:val="24"/>
        </w:rPr>
        <w:t>s</w:t>
      </w:r>
      <w:r w:rsidRPr="001278E9">
        <w:rPr>
          <w:rFonts w:ascii="Times New Roman" w:hAnsi="Times New Roman" w:cs="Times New Roman"/>
          <w:sz w:val="24"/>
          <w:szCs w:val="24"/>
        </w:rPr>
        <w:t xml:space="preserve"> 46 and 49 </w:t>
      </w:r>
    </w:p>
    <w:p w14:paraId="76645B9F" w14:textId="7B23F012"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1278E9">
        <w:rPr>
          <w:rFonts w:ascii="Times New Roman" w:hAnsi="Times New Roman" w:cs="Times New Roman"/>
          <w:sz w:val="24"/>
          <w:szCs w:val="24"/>
        </w:rPr>
        <w:t>Abreu</w:t>
      </w:r>
      <w:r w:rsidR="00FF312D">
        <w:rPr>
          <w:rFonts w:ascii="Times New Roman" w:hAnsi="Times New Roman" w:cs="Times New Roman"/>
          <w:sz w:val="24"/>
          <w:szCs w:val="24"/>
        </w:rPr>
        <w:t xml:space="preserve"> </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469C9B05"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1278E9">
        <w:rPr>
          <w:rFonts w:ascii="Times New Roman" w:hAnsi="Times New Roman" w:cs="Times New Roman"/>
          <w:sz w:val="24"/>
          <w:szCs w:val="24"/>
        </w:rPr>
        <w:t>2</w:t>
      </w:r>
    </w:p>
    <w:p w14:paraId="437D6B5F" w14:textId="52BC0ACA"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Number of units – </w:t>
      </w:r>
      <w:r w:rsidR="001278E9">
        <w:rPr>
          <w:rFonts w:ascii="Times New Roman" w:hAnsi="Times New Roman" w:cs="Times New Roman"/>
          <w:sz w:val="24"/>
          <w:szCs w:val="24"/>
        </w:rPr>
        <w:t>74</w:t>
      </w:r>
      <w:r w:rsidR="00AA16C6">
        <w:rPr>
          <w:rFonts w:ascii="Times New Roman" w:hAnsi="Times New Roman" w:cs="Times New Roman"/>
          <w:sz w:val="24"/>
          <w:szCs w:val="24"/>
        </w:rPr>
        <w:t xml:space="preserve"> residential</w:t>
      </w:r>
      <w:r w:rsidR="00852DEC">
        <w:rPr>
          <w:rFonts w:ascii="Times New Roman" w:hAnsi="Times New Roman" w:cs="Times New Roman"/>
          <w:sz w:val="24"/>
          <w:szCs w:val="24"/>
        </w:rPr>
        <w:t xml:space="preserve">; 5 </w:t>
      </w:r>
      <w:proofErr w:type="gramStart"/>
      <w:r w:rsidR="00852DEC">
        <w:rPr>
          <w:rFonts w:ascii="Times New Roman" w:hAnsi="Times New Roman" w:cs="Times New Roman"/>
          <w:sz w:val="24"/>
          <w:szCs w:val="24"/>
        </w:rPr>
        <w:t>commercial</w:t>
      </w:r>
      <w:proofErr w:type="gramEnd"/>
      <w:r w:rsidR="00852DEC">
        <w:rPr>
          <w:rFonts w:ascii="Times New Roman" w:hAnsi="Times New Roman" w:cs="Times New Roman"/>
          <w:sz w:val="24"/>
          <w:szCs w:val="24"/>
        </w:rPr>
        <w:t xml:space="preserve"> </w:t>
      </w:r>
    </w:p>
    <w:p w14:paraId="3D8CF2BB" w14:textId="6D3E102D" w:rsidR="00606865" w:rsidRPr="007E4431"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1278E9">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A65FD7">
        <w:rPr>
          <w:rFonts w:ascii="Times New Roman" w:hAnsi="Times New Roman" w:cs="Times New Roman"/>
          <w:sz w:val="24"/>
          <w:szCs w:val="24"/>
        </w:rPr>
        <w:t>partial</w:t>
      </w:r>
      <w:r w:rsidR="00606865" w:rsidRPr="007E4431">
        <w:rPr>
          <w:rFonts w:ascii="Times New Roman" w:hAnsi="Times New Roman" w:cs="Times New Roman"/>
          <w:sz w:val="24"/>
          <w:szCs w:val="24"/>
        </w:rPr>
        <w:t>,</w:t>
      </w:r>
      <w:r w:rsidR="004538A1">
        <w:rPr>
          <w:rFonts w:ascii="Times New Roman" w:hAnsi="Times New Roman" w:cs="Times New Roman"/>
          <w:sz w:val="24"/>
          <w:szCs w:val="24"/>
        </w:rPr>
        <w:t xml:space="preserve"> </w:t>
      </w:r>
      <w:r w:rsidR="001278E9">
        <w:rPr>
          <w:rFonts w:ascii="Times New Roman" w:hAnsi="Times New Roman" w:cs="Times New Roman"/>
          <w:sz w:val="24"/>
          <w:szCs w:val="24"/>
        </w:rPr>
        <w:t>40</w:t>
      </w:r>
      <w:r w:rsidR="00606865" w:rsidRPr="007E4431">
        <w:rPr>
          <w:rFonts w:ascii="Times New Roman" w:hAnsi="Times New Roman" w:cs="Times New Roman"/>
          <w:sz w:val="24"/>
          <w:szCs w:val="24"/>
        </w:rPr>
        <w:t xml:space="preserve"> year</w:t>
      </w:r>
      <w:r w:rsidR="003B406D">
        <w:rPr>
          <w:rFonts w:ascii="Times New Roman" w:hAnsi="Times New Roman" w:cs="Times New Roman"/>
          <w:sz w:val="24"/>
          <w:szCs w:val="24"/>
        </w:rPr>
        <w:t>s</w:t>
      </w:r>
    </w:p>
    <w:p w14:paraId="6348B3E4" w14:textId="4CE89197"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554C29">
        <w:rPr>
          <w:rFonts w:ascii="Times New Roman" w:hAnsi="Times New Roman" w:cs="Times New Roman"/>
          <w:sz w:val="24"/>
          <w:szCs w:val="24"/>
        </w:rPr>
        <w:t>rental</w:t>
      </w:r>
    </w:p>
    <w:p w14:paraId="5943A071" w14:textId="44B4EE81" w:rsidR="00AA16C6" w:rsidRPr="001278E9" w:rsidRDefault="00606865" w:rsidP="001278E9">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1278E9" w:rsidRPr="001278E9">
        <w:rPr>
          <w:rFonts w:ascii="Times New Roman" w:hAnsi="Times New Roman" w:cs="Times New Roman"/>
          <w:sz w:val="24"/>
          <w:szCs w:val="24"/>
        </w:rPr>
        <w:t>Metropolitan Realty Group</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28126A80"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$10,685,805</w:t>
      </w:r>
      <w:r>
        <w:rPr>
          <w:rFonts w:ascii="Times New Roman" w:hAnsi="Times New Roman" w:cs="Times New Roman"/>
          <w:sz w:val="24"/>
          <w:szCs w:val="24"/>
        </w:rPr>
        <w:t xml:space="preserve"> (present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59E67152"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1278E9">
        <w:rPr>
          <w:rFonts w:ascii="Times New Roman" w:hAnsi="Times New Roman" w:cs="Times New Roman"/>
          <w:sz w:val="24"/>
          <w:szCs w:val="24"/>
        </w:rPr>
        <w:t>2</w:t>
      </w:r>
    </w:p>
    <w:p w14:paraId="32519BFE" w14:textId="388057DF"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3B406D">
        <w:rPr>
          <w:rFonts w:ascii="Times New Roman" w:hAnsi="Times New Roman" w:cs="Times New Roman"/>
          <w:sz w:val="24"/>
          <w:szCs w:val="24"/>
        </w:rPr>
        <w:t>1</w:t>
      </w:r>
      <w:r w:rsidR="001278E9">
        <w:rPr>
          <w:rFonts w:ascii="Times New Roman" w:hAnsi="Times New Roman" w:cs="Times New Roman"/>
          <w:sz w:val="24"/>
          <w:szCs w:val="24"/>
        </w:rPr>
        <w:t>4</w:t>
      </w:r>
    </w:p>
    <w:p w14:paraId="2ADB31CA" w14:textId="62DC4CB1"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1278E9">
        <w:rPr>
          <w:rFonts w:ascii="Times New Roman" w:hAnsi="Times New Roman" w:cs="Times New Roman"/>
          <w:sz w:val="24"/>
          <w:szCs w:val="24"/>
        </w:rPr>
        <w:t>77</w:t>
      </w:r>
    </w:p>
    <w:p w14:paraId="304CF600" w14:textId="3DD087AC"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278E9">
        <w:rPr>
          <w:rFonts w:ascii="Times New Roman" w:hAnsi="Times New Roman" w:cs="Times New Roman"/>
          <w:sz w:val="24"/>
          <w:szCs w:val="24"/>
        </w:rPr>
        <w:t>50</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44BC" w14:textId="77777777" w:rsidR="00AD23B5" w:rsidRDefault="00AD23B5" w:rsidP="00AD23B5">
      <w:r>
        <w:separator/>
      </w:r>
    </w:p>
  </w:endnote>
  <w:endnote w:type="continuationSeparator" w:id="0">
    <w:p w14:paraId="57A0F63A" w14:textId="77777777" w:rsidR="00AD23B5" w:rsidRDefault="00AD23B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191B" w14:textId="77777777" w:rsidR="00AD23B5" w:rsidRDefault="00AD23B5" w:rsidP="00AD23B5">
      <w:r>
        <w:separator/>
      </w:r>
    </w:p>
  </w:footnote>
  <w:footnote w:type="continuationSeparator" w:id="0">
    <w:p w14:paraId="34B89A7A" w14:textId="77777777" w:rsidR="00AD23B5" w:rsidRDefault="00AD23B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1278E9"/>
    <w:rsid w:val="00140F84"/>
    <w:rsid w:val="0014209D"/>
    <w:rsid w:val="001546F6"/>
    <w:rsid w:val="00160CD3"/>
    <w:rsid w:val="0016505C"/>
    <w:rsid w:val="001A2DC3"/>
    <w:rsid w:val="001A4DAA"/>
    <w:rsid w:val="001D2C9D"/>
    <w:rsid w:val="001E7D02"/>
    <w:rsid w:val="001F60F4"/>
    <w:rsid w:val="002244F4"/>
    <w:rsid w:val="00234E1A"/>
    <w:rsid w:val="00241E0F"/>
    <w:rsid w:val="00243912"/>
    <w:rsid w:val="00252DE1"/>
    <w:rsid w:val="00264194"/>
    <w:rsid w:val="002B1EA7"/>
    <w:rsid w:val="00303D45"/>
    <w:rsid w:val="003261F2"/>
    <w:rsid w:val="00337B4E"/>
    <w:rsid w:val="00355C28"/>
    <w:rsid w:val="00356568"/>
    <w:rsid w:val="00363AF4"/>
    <w:rsid w:val="0036638D"/>
    <w:rsid w:val="003907B4"/>
    <w:rsid w:val="003A2620"/>
    <w:rsid w:val="003B406D"/>
    <w:rsid w:val="003F3943"/>
    <w:rsid w:val="003F3FA4"/>
    <w:rsid w:val="003F55C5"/>
    <w:rsid w:val="00410BF0"/>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54C29"/>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E4431"/>
    <w:rsid w:val="008006C1"/>
    <w:rsid w:val="00814C2D"/>
    <w:rsid w:val="0081626E"/>
    <w:rsid w:val="00817ECE"/>
    <w:rsid w:val="00852DEC"/>
    <w:rsid w:val="00871224"/>
    <w:rsid w:val="008927F0"/>
    <w:rsid w:val="008C1F35"/>
    <w:rsid w:val="008D36D2"/>
    <w:rsid w:val="008E62B6"/>
    <w:rsid w:val="009016B9"/>
    <w:rsid w:val="00906A1C"/>
    <w:rsid w:val="0092293C"/>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6E3A"/>
    <w:rsid w:val="00B321AB"/>
    <w:rsid w:val="00B51AEE"/>
    <w:rsid w:val="00B74FC8"/>
    <w:rsid w:val="00B90454"/>
    <w:rsid w:val="00B967EA"/>
    <w:rsid w:val="00BB296E"/>
    <w:rsid w:val="00BF3666"/>
    <w:rsid w:val="00BF6434"/>
    <w:rsid w:val="00C41285"/>
    <w:rsid w:val="00C801F0"/>
    <w:rsid w:val="00CB53FA"/>
    <w:rsid w:val="00CC37CA"/>
    <w:rsid w:val="00CE2729"/>
    <w:rsid w:val="00D307EE"/>
    <w:rsid w:val="00D42199"/>
    <w:rsid w:val="00D939F9"/>
    <w:rsid w:val="00DB2CA4"/>
    <w:rsid w:val="00DC7180"/>
    <w:rsid w:val="00DE08E3"/>
    <w:rsid w:val="00DF74A3"/>
    <w:rsid w:val="00E02586"/>
    <w:rsid w:val="00E1783C"/>
    <w:rsid w:val="00E33F9A"/>
    <w:rsid w:val="00ED79E4"/>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2025-01-29T20:08:00Z</cp:lastPrinted>
  <dcterms:created xsi:type="dcterms:W3CDTF">2026-04-21T20:00:00Z</dcterms:created>
  <dcterms:modified xsi:type="dcterms:W3CDTF">2026-04-21T20:00:00Z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