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0F6784F8"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Hudson</w:t>
      </w:r>
      <w:r w:rsidR="004A3A3A">
        <w:rPr>
          <w:rFonts w:ascii="Times New Roman" w:eastAsia="Times New Roman" w:hAnsi="Times New Roman" w:cs="Times New Roman"/>
          <w:sz w:val="24"/>
          <w:szCs w:val="24"/>
        </w:rPr>
        <w:t xml:space="preserve"> View</w:t>
      </w:r>
      <w:r w:rsidR="001278E9">
        <w:rPr>
          <w:rFonts w:ascii="Times New Roman" w:eastAsia="Times New Roman" w:hAnsi="Times New Roman" w:cs="Times New Roman"/>
          <w:sz w:val="24"/>
          <w:szCs w:val="24"/>
        </w:rPr>
        <w:t xml:space="preserve"> II</w:t>
      </w:r>
      <w:r w:rsidR="00E11D75">
        <w:rPr>
          <w:rFonts w:ascii="Times New Roman" w:eastAsia="Times New Roman" w:hAnsi="Times New Roman" w:cs="Times New Roman"/>
          <w:sz w:val="24"/>
          <w:szCs w:val="24"/>
        </w:rPr>
        <w:t>I</w:t>
      </w:r>
      <w:r w:rsidR="00817ECE" w:rsidRPr="001F60F4">
        <w:rPr>
          <w:rFonts w:ascii="Times New Roman" w:eastAsia="Times New Roman" w:hAnsi="Times New Roman" w:cs="Times New Roman"/>
          <w:sz w:val="24"/>
          <w:szCs w:val="24"/>
        </w:rPr>
        <w:t xml:space="preserve"> (Council District</w:t>
      </w:r>
      <w:r w:rsidR="003F3943">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7FDB8351" w:rsidR="00A468AA" w:rsidRPr="001F60F4" w:rsidRDefault="001278E9"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Hudson </w:t>
      </w:r>
      <w:r w:rsidR="008B3E7C">
        <w:rPr>
          <w:rFonts w:ascii="Times New Roman" w:hAnsi="Times New Roman" w:cs="Times New Roman"/>
          <w:b/>
          <w:sz w:val="24"/>
          <w:szCs w:val="24"/>
          <w:u w:val="single"/>
        </w:rPr>
        <w:t xml:space="preserve">View </w:t>
      </w:r>
      <w:r>
        <w:rPr>
          <w:rFonts w:ascii="Times New Roman" w:hAnsi="Times New Roman" w:cs="Times New Roman"/>
          <w:b/>
          <w:sz w:val="24"/>
          <w:szCs w:val="24"/>
          <w:u w:val="single"/>
        </w:rPr>
        <w:t>II</w:t>
      </w:r>
      <w:r w:rsidR="00BD3448">
        <w:rPr>
          <w:rFonts w:ascii="Times New Roman" w:hAnsi="Times New Roman" w:cs="Times New Roman"/>
          <w:b/>
          <w:sz w:val="24"/>
          <w:szCs w:val="24"/>
          <w:u w:val="single"/>
        </w:rPr>
        <w:t>I</w:t>
      </w:r>
    </w:p>
    <w:p w14:paraId="4C3539ED" w14:textId="0D152152" w:rsidR="001278E9" w:rsidRDefault="008D36D2" w:rsidP="008D36D2">
      <w:pPr>
        <w:pStyle w:val="MediumGrid1-Accent21"/>
        <w:ind w:left="0"/>
      </w:pPr>
      <w:r w:rsidRPr="008D36D2">
        <w:rPr>
          <w:b/>
          <w:bCs/>
        </w:rPr>
        <w:t>Type of Exemption Requested:</w:t>
      </w:r>
      <w:r>
        <w:t xml:space="preserve"> </w:t>
      </w:r>
      <w:r w:rsidR="001278E9">
        <w:t xml:space="preserve">Partial Article </w:t>
      </w:r>
      <w:r w:rsidR="00B21C77">
        <w:t>XI</w:t>
      </w:r>
      <w:r w:rsidR="001278E9">
        <w:t xml:space="preserve"> Exemption</w:t>
      </w:r>
    </w:p>
    <w:p w14:paraId="548B9A80" w14:textId="77777777" w:rsidR="001278E9" w:rsidRDefault="001278E9" w:rsidP="008D36D2">
      <w:pPr>
        <w:pStyle w:val="MediumGrid1-Accent21"/>
        <w:ind w:left="0"/>
      </w:pPr>
    </w:p>
    <w:p w14:paraId="62BFB8C2" w14:textId="77777777" w:rsidR="00E11D75" w:rsidRDefault="00E11D75" w:rsidP="00E11D75">
      <w:pPr>
        <w:pStyle w:val="MediumGrid1-Accent21"/>
        <w:ind w:left="0"/>
      </w:pPr>
      <w:r>
        <w:t xml:space="preserve">Hudson View III (the “Project”) consists of 2 buildings on 2 lots in the Hamilton Heights neighborhood of Manhattan, containing 55 units: 1 studio, 27 one-bedrooms (1 of which is a superintendent’s unit), 18 two-bedrooms, and 9 three-bedrooms. There are six (6) commercial spaces in the Project. This project has a HUD Project-based Section 8 Mark-Up-to-Market HAP contract covering all units other than the superintendent’s unit, and accordingly residents generally pay 30% of their income in rent. </w:t>
      </w:r>
    </w:p>
    <w:p w14:paraId="701FE116" w14:textId="77777777" w:rsidR="00E11D75" w:rsidRDefault="00E11D75" w:rsidP="00E11D75">
      <w:pPr>
        <w:pStyle w:val="MediumGrid1-Accent21"/>
      </w:pPr>
      <w:r>
        <w:tab/>
      </w:r>
    </w:p>
    <w:p w14:paraId="120AF771" w14:textId="6DC2B8D6" w:rsidR="00E11D75" w:rsidRDefault="00E11D75" w:rsidP="00E11D75">
      <w:pPr>
        <w:pStyle w:val="MediumGrid1-Accent21"/>
        <w:ind w:left="0"/>
      </w:pPr>
      <w:r>
        <w:t xml:space="preserve">The Project received an Article V exemption in 1985 that expired in 2025 (Original Exemption). The Project is eligible for an additional period of Article V exemption under the Private Housing Finance Law (PHFL) and HPD is asking the Council to provide an additional period of Article V exemption to bridge the </w:t>
      </w:r>
      <w:proofErr w:type="gramStart"/>
      <w:r>
        <w:t>time period</w:t>
      </w:r>
      <w:proofErr w:type="gramEnd"/>
      <w:r>
        <w:t xml:space="preserve"> from the expiration of the Original Exemption until a new Article XI exemption takes effect in May 2026. </w:t>
      </w:r>
    </w:p>
    <w:p w14:paraId="49C353A3" w14:textId="77777777" w:rsidR="00E11D75" w:rsidRDefault="00E11D75" w:rsidP="00E11D75">
      <w:pPr>
        <w:pStyle w:val="MediumGrid1-Accent21"/>
      </w:pPr>
    </w:p>
    <w:p w14:paraId="656C66C9" w14:textId="6239E78C" w:rsidR="00E11D75" w:rsidRDefault="00E11D75" w:rsidP="00E11D75">
      <w:pPr>
        <w:pStyle w:val="MediumGrid1-Accent21"/>
        <w:ind w:left="0"/>
      </w:pPr>
      <w:proofErr w:type="gramStart"/>
      <w:r>
        <w:t>Under separate cover</w:t>
      </w:r>
      <w:proofErr w:type="gramEnd"/>
      <w:r>
        <w:t xml:space="preserve">, HPD is providing a request for a 40-year Article XI exemption. The Project is under contract for sale to an entity affiliated with Metropolitan Realty Group of New York.  At the date of the purchase/sale closing, the project fee ownership will transfer to </w:t>
      </w:r>
      <w:proofErr w:type="gramStart"/>
      <w:r>
        <w:t>an Article</w:t>
      </w:r>
      <w:proofErr w:type="gramEnd"/>
      <w:r>
        <w:t xml:space="preserve"> XI-eligible Housing Development Fund Company.</w:t>
      </w:r>
    </w:p>
    <w:p w14:paraId="0AB00D4E" w14:textId="77777777" w:rsidR="00E11D75" w:rsidRDefault="00E11D75" w:rsidP="00E11D75">
      <w:pPr>
        <w:pStyle w:val="MediumGrid1-Accent21"/>
      </w:pPr>
    </w:p>
    <w:p w14:paraId="1EFB2C79" w14:textId="6274BECC" w:rsidR="00E11D75" w:rsidRDefault="00E11D75" w:rsidP="00E11D75">
      <w:pPr>
        <w:pStyle w:val="MediumGrid1-Accent21"/>
        <w:ind w:left="0"/>
      </w:pPr>
      <w:r>
        <w:t xml:space="preserve">During the term of the proposed Article V exemption, taxes for the period between the expiration of the Original Exemption and the closing date and effective date of the Article XI exemption will be set at the amount already billed by the New York City Department of Finance. Following closing, annual taxes under the Article XI exemption will be equal to $341,188 plus 25% of any difference between contract rents then in effect and contract rents authorized as of July 1, 2025 </w:t>
      </w:r>
      <w:r>
        <w:lastRenderedPageBreak/>
        <w:t>(“Contract Rent Differential Tax” or “CRDT”). The CRDT will be capped at the lower of 17% of the contract rents or full property taxes.</w:t>
      </w:r>
    </w:p>
    <w:p w14:paraId="2F4640BB" w14:textId="77777777" w:rsidR="00E11D75" w:rsidRDefault="00E11D75" w:rsidP="00E11D75">
      <w:pPr>
        <w:pStyle w:val="MediumGrid1-Accent21"/>
        <w:ind w:left="0"/>
      </w:pPr>
    </w:p>
    <w:p w14:paraId="23F02F56" w14:textId="352E0FAA" w:rsidR="00E11D75" w:rsidRDefault="00E11D75" w:rsidP="00E11D75">
      <w:pPr>
        <w:pStyle w:val="MediumGrid1-Accent21"/>
        <w:ind w:left="0"/>
      </w:pPr>
      <w:r>
        <w:t>To facilitate the acquisition and rehabilitation of the Project that will extend its use as affordable housing, an additional period of Article V partial exemption is requested for the period from the Original Exemption’s expiration until the commencement of the new Article XI exemption.</w:t>
      </w:r>
    </w:p>
    <w:p w14:paraId="5054C60A" w14:textId="77777777" w:rsidR="00E11D75" w:rsidRDefault="00E11D75" w:rsidP="00E11D75">
      <w:pPr>
        <w:pStyle w:val="MediumGrid1-Accent21"/>
      </w:pPr>
    </w:p>
    <w:p w14:paraId="5F3E58A1" w14:textId="77777777" w:rsidR="00E11D75" w:rsidRDefault="00E11D75" w:rsidP="00E11D75">
      <w:pPr>
        <w:pStyle w:val="MediumGrid1-Accent21"/>
        <w:ind w:left="0"/>
      </w:pPr>
      <w:r>
        <w:t xml:space="preserve">At the closing of the purchase/sale transaction and the new Article XI tax exemption, a new HPD regulatory agreement will be </w:t>
      </w:r>
      <w:proofErr w:type="gramStart"/>
      <w:r>
        <w:t>executed</w:t>
      </w:r>
      <w:proofErr w:type="gramEnd"/>
      <w:r>
        <w:t xml:space="preserve"> that will require, among other things, every other vacant unit will be set aside for homeless tenants </w:t>
      </w:r>
      <w:proofErr w:type="gramStart"/>
      <w:r>
        <w:t>until</w:t>
      </w:r>
      <w:proofErr w:type="gramEnd"/>
      <w:r>
        <w:t xml:space="preserve"> 30% (17 units) of the Project to be rented to formerly homeless households. The Project will provide broadband internet access via </w:t>
      </w:r>
      <w:proofErr w:type="spellStart"/>
      <w:r>
        <w:t>WiFi</w:t>
      </w:r>
      <w:proofErr w:type="spellEnd"/>
      <w:r>
        <w:t xml:space="preserve"> in units and common </w:t>
      </w:r>
      <w:proofErr w:type="gramStart"/>
      <w:r>
        <w:t>area</w:t>
      </w:r>
      <w:proofErr w:type="gramEnd"/>
      <w:r>
        <w:t xml:space="preserve"> and will make improvements under HPD’s Aging-in-Place (AIP) initiative. As part of this transaction, the Project will undergo the following renovations: full renovation of kitchens and bathrooms in all units, new flooring in all common areas, a new intercom system, replacement of all mailboxes, and installation of energy-efficient LED lighting throughout the property.</w:t>
      </w:r>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5C30DED6"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3F3943">
        <w:rPr>
          <w:rFonts w:ascii="Times New Roman" w:hAnsi="Times New Roman" w:cs="Times New Roman"/>
          <w:sz w:val="24"/>
          <w:szCs w:val="24"/>
        </w:rPr>
        <w:t>Manhattan</w:t>
      </w:r>
    </w:p>
    <w:p w14:paraId="6FD0123F" w14:textId="79681C74" w:rsidR="001278E9" w:rsidRDefault="001278E9" w:rsidP="00606865">
      <w:pPr>
        <w:pStyle w:val="ListParagraph"/>
        <w:numPr>
          <w:ilvl w:val="0"/>
          <w:numId w:val="1"/>
        </w:numPr>
        <w:rPr>
          <w:rFonts w:ascii="Times New Roman" w:hAnsi="Times New Roman" w:cs="Times New Roman"/>
          <w:sz w:val="24"/>
          <w:szCs w:val="24"/>
        </w:rPr>
      </w:pPr>
      <w:r w:rsidRPr="001278E9">
        <w:rPr>
          <w:rFonts w:ascii="Times New Roman" w:hAnsi="Times New Roman" w:cs="Times New Roman"/>
          <w:sz w:val="24"/>
          <w:szCs w:val="24"/>
        </w:rPr>
        <w:t>Block 2076</w:t>
      </w:r>
      <w:r w:rsidR="00E11D75" w:rsidRPr="00E11D75">
        <w:rPr>
          <w:rFonts w:ascii="Times New Roman" w:hAnsi="Times New Roman" w:cs="Times New Roman"/>
          <w:sz w:val="24"/>
          <w:szCs w:val="24"/>
        </w:rPr>
        <w:t>, Lot 31</w:t>
      </w:r>
      <w:r w:rsidR="004A3A3A">
        <w:rPr>
          <w:rFonts w:ascii="Times New Roman" w:hAnsi="Times New Roman" w:cs="Times New Roman"/>
          <w:sz w:val="24"/>
          <w:szCs w:val="24"/>
        </w:rPr>
        <w:t xml:space="preserve"> and 38</w:t>
      </w:r>
    </w:p>
    <w:p w14:paraId="76645B9F" w14:textId="7B23F012"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1278E9">
        <w:rPr>
          <w:rFonts w:ascii="Times New Roman" w:hAnsi="Times New Roman" w:cs="Times New Roman"/>
          <w:sz w:val="24"/>
          <w:szCs w:val="24"/>
        </w:rPr>
        <w:t>Abreu</w:t>
      </w:r>
      <w:r w:rsidR="00FF312D">
        <w:rPr>
          <w:rFonts w:ascii="Times New Roman" w:hAnsi="Times New Roman" w:cs="Times New Roman"/>
          <w:sz w:val="24"/>
          <w:szCs w:val="24"/>
        </w:rPr>
        <w:t xml:space="preserve"> </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469C9B0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278E9">
        <w:rPr>
          <w:rFonts w:ascii="Times New Roman" w:hAnsi="Times New Roman" w:cs="Times New Roman"/>
          <w:sz w:val="24"/>
          <w:szCs w:val="24"/>
        </w:rPr>
        <w:t>2</w:t>
      </w:r>
    </w:p>
    <w:p w14:paraId="437D6B5F" w14:textId="428DB94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E11D75">
        <w:rPr>
          <w:rFonts w:ascii="Times New Roman" w:hAnsi="Times New Roman" w:cs="Times New Roman"/>
          <w:sz w:val="24"/>
          <w:szCs w:val="24"/>
        </w:rPr>
        <w:t>55</w:t>
      </w:r>
      <w:r w:rsidR="00AA16C6">
        <w:rPr>
          <w:rFonts w:ascii="Times New Roman" w:hAnsi="Times New Roman" w:cs="Times New Roman"/>
          <w:sz w:val="24"/>
          <w:szCs w:val="24"/>
        </w:rPr>
        <w:t xml:space="preserve"> residential</w:t>
      </w:r>
      <w:r w:rsidR="00E11D75">
        <w:rPr>
          <w:rFonts w:ascii="Times New Roman" w:hAnsi="Times New Roman" w:cs="Times New Roman"/>
          <w:sz w:val="24"/>
          <w:szCs w:val="24"/>
        </w:rPr>
        <w:t>; 6 commercial spaces</w:t>
      </w:r>
    </w:p>
    <w:p w14:paraId="3D8CF2BB" w14:textId="247E6661"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4A3A3A">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A65FD7">
        <w:rPr>
          <w:rFonts w:ascii="Times New Roman" w:hAnsi="Times New Roman" w:cs="Times New Roman"/>
          <w:sz w:val="24"/>
          <w:szCs w:val="24"/>
        </w:rPr>
        <w:t>partial</w:t>
      </w:r>
      <w:r w:rsidR="00606865" w:rsidRPr="007E4431">
        <w:rPr>
          <w:rFonts w:ascii="Times New Roman" w:hAnsi="Times New Roman" w:cs="Times New Roman"/>
          <w:sz w:val="24"/>
          <w:szCs w:val="24"/>
        </w:rPr>
        <w:t>,</w:t>
      </w:r>
      <w:r w:rsidR="00E11D75">
        <w:rPr>
          <w:rFonts w:ascii="Times New Roman" w:hAnsi="Times New Roman" w:cs="Times New Roman"/>
          <w:sz w:val="24"/>
          <w:szCs w:val="24"/>
        </w:rPr>
        <w:t xml:space="preserve"> </w:t>
      </w:r>
      <w:r w:rsidR="004A3A3A">
        <w:rPr>
          <w:rFonts w:ascii="Times New Roman" w:hAnsi="Times New Roman" w:cs="Times New Roman"/>
          <w:sz w:val="24"/>
          <w:szCs w:val="24"/>
        </w:rPr>
        <w:t>40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44B4EE81" w:rsidR="00AA16C6" w:rsidRPr="001278E9" w:rsidRDefault="00606865" w:rsidP="001278E9">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278E9" w:rsidRPr="001278E9">
        <w:rPr>
          <w:rFonts w:ascii="Times New Roman" w:hAnsi="Times New Roman" w:cs="Times New Roman"/>
          <w:sz w:val="24"/>
          <w:szCs w:val="24"/>
        </w:rPr>
        <w:t>Metropolitan Realty Group</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0DF443EB"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E11D75">
        <w:rPr>
          <w:rFonts w:ascii="Times New Roman" w:hAnsi="Times New Roman" w:cs="Times New Roman"/>
          <w:sz w:val="24"/>
          <w:szCs w:val="24"/>
        </w:rPr>
        <w:t>339,814</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0B9BCEC2"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E11D75">
        <w:rPr>
          <w:rFonts w:ascii="Times New Roman" w:hAnsi="Times New Roman" w:cs="Times New Roman"/>
          <w:sz w:val="24"/>
          <w:szCs w:val="24"/>
        </w:rPr>
        <w:t>10</w:t>
      </w:r>
    </w:p>
    <w:p w14:paraId="32519BFE" w14:textId="50677105"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E11D75">
        <w:rPr>
          <w:rFonts w:ascii="Times New Roman" w:hAnsi="Times New Roman" w:cs="Times New Roman"/>
          <w:sz w:val="24"/>
          <w:szCs w:val="24"/>
        </w:rPr>
        <w:t>25</w:t>
      </w:r>
    </w:p>
    <w:p w14:paraId="2ADB31CA" w14:textId="02C45380"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E11D75">
        <w:rPr>
          <w:rFonts w:ascii="Times New Roman" w:hAnsi="Times New Roman" w:cs="Times New Roman"/>
          <w:sz w:val="24"/>
          <w:szCs w:val="24"/>
        </w:rPr>
        <w:t>47</w:t>
      </w:r>
    </w:p>
    <w:p w14:paraId="126435F0" w14:textId="77777777" w:rsidR="004A3A3A" w:rsidRDefault="004A3A3A" w:rsidP="004A3A3A">
      <w:pPr>
        <w:pStyle w:val="ListParagraph"/>
        <w:ind w:left="1440"/>
        <w:rPr>
          <w:rFonts w:ascii="Times New Roman" w:hAnsi="Times New Roman" w:cs="Times New Roman"/>
          <w:sz w:val="24"/>
          <w:szCs w:val="24"/>
        </w:rPr>
      </w:pPr>
    </w:p>
    <w:p w14:paraId="3A4BBF7F" w14:textId="71B3FE41" w:rsidR="00E11D75" w:rsidRDefault="00E11D75" w:rsidP="00E11D75">
      <w:pPr>
        <w:rPr>
          <w:rFonts w:ascii="Times New Roman" w:hAnsi="Times New Roman" w:cs="Times New Roman"/>
          <w:sz w:val="24"/>
          <w:szCs w:val="24"/>
        </w:rPr>
      </w:pPr>
      <w:r w:rsidRPr="00E11D75">
        <w:rPr>
          <w:rFonts w:ascii="Times New Roman" w:hAnsi="Times New Roman" w:cs="Times New Roman"/>
          <w:sz w:val="24"/>
          <w:szCs w:val="24"/>
        </w:rPr>
        <w:t xml:space="preserve">The seller is in process of clearing violations. The buyer has agreed to acquire the property with some </w:t>
      </w:r>
      <w:proofErr w:type="gramStart"/>
      <w:r w:rsidRPr="00E11D75">
        <w:rPr>
          <w:rFonts w:ascii="Times New Roman" w:hAnsi="Times New Roman" w:cs="Times New Roman"/>
          <w:sz w:val="24"/>
          <w:szCs w:val="24"/>
        </w:rPr>
        <w:t>violations unresolved</w:t>
      </w:r>
      <w:proofErr w:type="gramEnd"/>
      <w:r w:rsidRPr="00E11D75">
        <w:rPr>
          <w:rFonts w:ascii="Times New Roman" w:hAnsi="Times New Roman" w:cs="Times New Roman"/>
          <w:sz w:val="24"/>
          <w:szCs w:val="24"/>
        </w:rPr>
        <w:t xml:space="preserve">. Following closing, the buyer, as the new owner, will be obligated to remediate all outstanding Class A, B, and C violations at time of closing within a specific </w:t>
      </w:r>
      <w:proofErr w:type="gramStart"/>
      <w:r w:rsidRPr="00E11D75">
        <w:rPr>
          <w:rFonts w:ascii="Times New Roman" w:hAnsi="Times New Roman" w:cs="Times New Roman"/>
          <w:sz w:val="24"/>
          <w:szCs w:val="24"/>
        </w:rPr>
        <w:t>time period</w:t>
      </w:r>
      <w:proofErr w:type="gramEnd"/>
      <w:r w:rsidRPr="00E11D75">
        <w:rPr>
          <w:rFonts w:ascii="Times New Roman" w:hAnsi="Times New Roman" w:cs="Times New Roman"/>
          <w:sz w:val="24"/>
          <w:szCs w:val="24"/>
        </w:rPr>
        <w:t xml:space="preserve"> established by HPD.</w:t>
      </w:r>
    </w:p>
    <w:p w14:paraId="2EC16932" w14:textId="77777777" w:rsidR="004A3A3A" w:rsidRPr="00E11D75" w:rsidRDefault="004A3A3A" w:rsidP="00E11D75">
      <w:pPr>
        <w:rPr>
          <w:rFonts w:ascii="Times New Roman" w:hAnsi="Times New Roman" w:cs="Times New Roman"/>
          <w:sz w:val="24"/>
          <w:szCs w:val="24"/>
        </w:rPr>
      </w:pPr>
    </w:p>
    <w:p w14:paraId="304CF600" w14:textId="3DD087AC"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A3A3A"/>
    <w:rsid w:val="004B0461"/>
    <w:rsid w:val="004B1F3F"/>
    <w:rsid w:val="004D3B89"/>
    <w:rsid w:val="004F57F2"/>
    <w:rsid w:val="00533190"/>
    <w:rsid w:val="005449C7"/>
    <w:rsid w:val="00562626"/>
    <w:rsid w:val="00580AC3"/>
    <w:rsid w:val="005D3EE3"/>
    <w:rsid w:val="005E4469"/>
    <w:rsid w:val="005F5DD5"/>
    <w:rsid w:val="00606865"/>
    <w:rsid w:val="006165EA"/>
    <w:rsid w:val="00627405"/>
    <w:rsid w:val="006426AA"/>
    <w:rsid w:val="006439DB"/>
    <w:rsid w:val="006826D2"/>
    <w:rsid w:val="00683FE6"/>
    <w:rsid w:val="006E0F8E"/>
    <w:rsid w:val="006F0523"/>
    <w:rsid w:val="00702E44"/>
    <w:rsid w:val="00742AA2"/>
    <w:rsid w:val="0075643D"/>
    <w:rsid w:val="00760FAC"/>
    <w:rsid w:val="007A4E1A"/>
    <w:rsid w:val="007B103F"/>
    <w:rsid w:val="007E4431"/>
    <w:rsid w:val="008006C1"/>
    <w:rsid w:val="00814C2D"/>
    <w:rsid w:val="0081626E"/>
    <w:rsid w:val="00817ECE"/>
    <w:rsid w:val="00871224"/>
    <w:rsid w:val="008927F0"/>
    <w:rsid w:val="008B3E7C"/>
    <w:rsid w:val="008C1F35"/>
    <w:rsid w:val="008D36D2"/>
    <w:rsid w:val="008E62B6"/>
    <w:rsid w:val="009016B9"/>
    <w:rsid w:val="00906A1C"/>
    <w:rsid w:val="0092293C"/>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51AEE"/>
    <w:rsid w:val="00B74FC8"/>
    <w:rsid w:val="00B90454"/>
    <w:rsid w:val="00B967EA"/>
    <w:rsid w:val="00BB296E"/>
    <w:rsid w:val="00BD3448"/>
    <w:rsid w:val="00BF3666"/>
    <w:rsid w:val="00BF6434"/>
    <w:rsid w:val="00C41285"/>
    <w:rsid w:val="00C801F0"/>
    <w:rsid w:val="00CC37CA"/>
    <w:rsid w:val="00CE2729"/>
    <w:rsid w:val="00D307EE"/>
    <w:rsid w:val="00D42199"/>
    <w:rsid w:val="00D939F9"/>
    <w:rsid w:val="00DB2CA4"/>
    <w:rsid w:val="00DC7180"/>
    <w:rsid w:val="00DF74A3"/>
    <w:rsid w:val="00E02586"/>
    <w:rsid w:val="00E11D75"/>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2026-04-21T20:19:00Z</dcterms:created>
  <dcterms:modified xsi:type="dcterms:W3CDTF">2026-04-21T20:19:00Z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