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AAF8" w14:textId="553794D2" w:rsidR="008B0AF8" w:rsidRDefault="008B0AF8" w:rsidP="00271D56">
      <w:pPr>
        <w:spacing w:after="0" w:line="240" w:lineRule="auto"/>
        <w:jc w:val="center"/>
        <w:rPr>
          <w:rFonts w:ascii="Times New Roman" w:hAnsi="Times New Roman" w:cs="Times New Roman"/>
          <w:sz w:val="24"/>
          <w:szCs w:val="24"/>
        </w:rPr>
      </w:pPr>
      <w:r w:rsidRPr="00544E2A">
        <w:rPr>
          <w:rFonts w:ascii="Times New Roman" w:hAnsi="Times New Roman" w:cs="Times New Roman"/>
          <w:sz w:val="24"/>
          <w:szCs w:val="24"/>
        </w:rPr>
        <w:t xml:space="preserve">Res. No. </w:t>
      </w:r>
      <w:r w:rsidR="006D65F4">
        <w:rPr>
          <w:rFonts w:ascii="Times New Roman" w:hAnsi="Times New Roman" w:cs="Times New Roman"/>
          <w:sz w:val="24"/>
          <w:szCs w:val="24"/>
        </w:rPr>
        <w:t>459</w:t>
      </w:r>
    </w:p>
    <w:p w14:paraId="58EF8D0B" w14:textId="77777777" w:rsidR="00271D56" w:rsidRPr="00544E2A" w:rsidRDefault="00271D56" w:rsidP="00271D56">
      <w:pPr>
        <w:spacing w:after="0" w:line="240" w:lineRule="auto"/>
        <w:jc w:val="center"/>
        <w:rPr>
          <w:rFonts w:ascii="Times New Roman" w:hAnsi="Times New Roman" w:cs="Times New Roman"/>
          <w:sz w:val="24"/>
          <w:szCs w:val="24"/>
        </w:rPr>
      </w:pPr>
    </w:p>
    <w:p w14:paraId="6661A43B" w14:textId="77777777" w:rsidR="00703257" w:rsidRPr="00271D56" w:rsidRDefault="00703257" w:rsidP="00271D56">
      <w:pPr>
        <w:spacing w:after="0" w:line="240" w:lineRule="auto"/>
        <w:jc w:val="both"/>
        <w:rPr>
          <w:rFonts w:ascii="Times New Roman" w:hAnsi="Times New Roman" w:cs="Times New Roman"/>
          <w:vanish/>
          <w:sz w:val="24"/>
          <w:szCs w:val="24"/>
        </w:rPr>
      </w:pPr>
      <w:r w:rsidRPr="00271D56">
        <w:rPr>
          <w:rFonts w:ascii="Times New Roman" w:hAnsi="Times New Roman" w:cs="Times New Roman"/>
          <w:vanish/>
          <w:sz w:val="24"/>
          <w:szCs w:val="24"/>
        </w:rPr>
        <w:t>..Title</w:t>
      </w:r>
    </w:p>
    <w:p w14:paraId="360AC509" w14:textId="3A4AE5E0" w:rsidR="008B0AF8" w:rsidRDefault="008B0AF8" w:rsidP="00271D56">
      <w:pPr>
        <w:spacing w:after="0" w:line="240" w:lineRule="auto"/>
        <w:jc w:val="both"/>
        <w:rPr>
          <w:rFonts w:ascii="Times New Roman" w:hAnsi="Times New Roman" w:cs="Times New Roman"/>
          <w:sz w:val="24"/>
          <w:szCs w:val="24"/>
        </w:rPr>
      </w:pPr>
      <w:r w:rsidRPr="00544E2A">
        <w:rPr>
          <w:rFonts w:ascii="Times New Roman" w:hAnsi="Times New Roman" w:cs="Times New Roman"/>
          <w:sz w:val="24"/>
          <w:szCs w:val="24"/>
        </w:rPr>
        <w:t>Resolution calling on the New York State Legislature to pass, and the Governor to sign, S</w:t>
      </w:r>
      <w:r w:rsidR="00106DFA">
        <w:rPr>
          <w:rFonts w:ascii="Times New Roman" w:hAnsi="Times New Roman" w:cs="Times New Roman"/>
          <w:sz w:val="24"/>
          <w:szCs w:val="24"/>
        </w:rPr>
        <w:t>.</w:t>
      </w:r>
      <w:r w:rsidR="00392584" w:rsidRPr="00544E2A">
        <w:rPr>
          <w:rFonts w:ascii="Times New Roman" w:hAnsi="Times New Roman" w:cs="Times New Roman"/>
          <w:sz w:val="24"/>
          <w:szCs w:val="24"/>
        </w:rPr>
        <w:t>440/A</w:t>
      </w:r>
      <w:r w:rsidR="00106DFA">
        <w:rPr>
          <w:rFonts w:ascii="Times New Roman" w:hAnsi="Times New Roman" w:cs="Times New Roman"/>
          <w:sz w:val="24"/>
          <w:szCs w:val="24"/>
        </w:rPr>
        <w:t>.</w:t>
      </w:r>
      <w:r w:rsidR="00392584" w:rsidRPr="00544E2A">
        <w:rPr>
          <w:rFonts w:ascii="Times New Roman" w:hAnsi="Times New Roman" w:cs="Times New Roman"/>
          <w:sz w:val="24"/>
          <w:szCs w:val="24"/>
        </w:rPr>
        <w:t>2121</w:t>
      </w:r>
      <w:r w:rsidRPr="00544E2A">
        <w:rPr>
          <w:rFonts w:ascii="Times New Roman" w:hAnsi="Times New Roman" w:cs="Times New Roman"/>
          <w:sz w:val="24"/>
          <w:szCs w:val="24"/>
        </w:rPr>
        <w:t xml:space="preserve">, in relation to </w:t>
      </w:r>
      <w:r w:rsidR="00392584" w:rsidRPr="00544E2A">
        <w:rPr>
          <w:rFonts w:ascii="Times New Roman" w:hAnsi="Times New Roman" w:cs="Times New Roman"/>
          <w:sz w:val="24"/>
          <w:szCs w:val="24"/>
        </w:rPr>
        <w:t>voting rights and access for incarcerated individuals</w:t>
      </w:r>
    </w:p>
    <w:p w14:paraId="0044115D" w14:textId="4D6B9E50" w:rsidR="00703257" w:rsidRPr="00271D56" w:rsidRDefault="00703257" w:rsidP="00271D56">
      <w:pPr>
        <w:spacing w:after="0" w:line="240" w:lineRule="auto"/>
        <w:jc w:val="both"/>
        <w:rPr>
          <w:rFonts w:ascii="Times New Roman" w:hAnsi="Times New Roman" w:cs="Times New Roman"/>
          <w:vanish/>
          <w:sz w:val="24"/>
          <w:szCs w:val="24"/>
        </w:rPr>
      </w:pPr>
      <w:r w:rsidRPr="00271D56">
        <w:rPr>
          <w:rFonts w:ascii="Times New Roman" w:hAnsi="Times New Roman" w:cs="Times New Roman"/>
          <w:vanish/>
          <w:sz w:val="24"/>
          <w:szCs w:val="24"/>
        </w:rPr>
        <w:t>..Body</w:t>
      </w:r>
    </w:p>
    <w:p w14:paraId="77E44223" w14:textId="77777777" w:rsidR="00271D56" w:rsidRPr="00271D56" w:rsidRDefault="00271D56" w:rsidP="00271D56">
      <w:pPr>
        <w:spacing w:after="0" w:line="240" w:lineRule="auto"/>
        <w:jc w:val="both"/>
        <w:rPr>
          <w:rFonts w:ascii="Times New Roman" w:hAnsi="Times New Roman" w:cs="Times New Roman"/>
          <w:sz w:val="24"/>
          <w:szCs w:val="24"/>
        </w:rPr>
      </w:pPr>
    </w:p>
    <w:p w14:paraId="200E35F4" w14:textId="77777777" w:rsidR="001878EE" w:rsidRDefault="001878EE" w:rsidP="001878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Brooks-Powers and Louis</w:t>
      </w:r>
    </w:p>
    <w:p w14:paraId="08897D0E" w14:textId="77777777" w:rsidR="00271D56" w:rsidRPr="00544E2A" w:rsidRDefault="00271D56" w:rsidP="00271D56">
      <w:pPr>
        <w:spacing w:after="0" w:line="240" w:lineRule="auto"/>
        <w:jc w:val="both"/>
        <w:rPr>
          <w:rFonts w:ascii="Times New Roman" w:hAnsi="Times New Roman" w:cs="Times New Roman"/>
          <w:sz w:val="24"/>
          <w:szCs w:val="24"/>
        </w:rPr>
      </w:pPr>
    </w:p>
    <w:p w14:paraId="2DCDD066" w14:textId="77777777" w:rsidR="00034DB3" w:rsidRDefault="002A450C" w:rsidP="00034DB3">
      <w:pPr>
        <w:spacing w:line="480" w:lineRule="auto"/>
        <w:ind w:firstLine="720"/>
        <w:contextualSpacing/>
        <w:jc w:val="both"/>
        <w:rPr>
          <w:rFonts w:ascii="Times New Roman" w:hAnsi="Times New Roman" w:cs="Times New Roman"/>
          <w:bCs/>
          <w:sz w:val="24"/>
          <w:szCs w:val="24"/>
        </w:rPr>
      </w:pPr>
      <w:r w:rsidRPr="00544E2A">
        <w:rPr>
          <w:rFonts w:ascii="Times New Roman" w:hAnsi="Times New Roman" w:cs="Times New Roman"/>
          <w:bCs/>
          <w:sz w:val="24"/>
          <w:szCs w:val="24"/>
        </w:rPr>
        <w:t>Whereas,</w:t>
      </w:r>
      <w:r w:rsidR="002029F3" w:rsidRPr="00544E2A">
        <w:rPr>
          <w:rFonts w:ascii="Times New Roman" w:hAnsi="Times New Roman" w:cs="Times New Roman"/>
          <w:bCs/>
          <w:sz w:val="24"/>
          <w:szCs w:val="24"/>
        </w:rPr>
        <w:t xml:space="preserve"> The right to vote is a fundamental pillar of democracy and a core component of civic participation that should be protected and facilitated for all eligible citizens; and</w:t>
      </w:r>
    </w:p>
    <w:p w14:paraId="3C73D740" w14:textId="77E10189" w:rsidR="00034DB3" w:rsidRDefault="00034DB3" w:rsidP="00034DB3">
      <w:pPr>
        <w:spacing w:line="480" w:lineRule="auto"/>
        <w:ind w:firstLine="720"/>
        <w:contextualSpacing/>
        <w:jc w:val="both"/>
        <w:rPr>
          <w:rFonts w:ascii="Times New Roman" w:hAnsi="Times New Roman" w:cs="Times New Roman"/>
          <w:bCs/>
          <w:sz w:val="24"/>
          <w:szCs w:val="24"/>
        </w:rPr>
      </w:pPr>
      <w:r w:rsidRPr="00034DB3">
        <w:rPr>
          <w:rFonts w:ascii="Times New Roman" w:hAnsi="Times New Roman" w:cs="Times New Roman"/>
          <w:bCs/>
          <w:sz w:val="24"/>
          <w:szCs w:val="24"/>
        </w:rPr>
        <w:t xml:space="preserve">Whereas, According to the Vera Institute’s April 10, 2026 Snapshot of the NYC Jail Population, of the 6,631 persons in </w:t>
      </w:r>
      <w:r w:rsidR="0031462A">
        <w:rPr>
          <w:rFonts w:ascii="Times New Roman" w:hAnsi="Times New Roman" w:cs="Times New Roman"/>
          <w:bCs/>
          <w:sz w:val="24"/>
          <w:szCs w:val="24"/>
        </w:rPr>
        <w:t>Department of Correction (</w:t>
      </w:r>
      <w:r w:rsidRPr="00034DB3">
        <w:rPr>
          <w:rFonts w:ascii="Times New Roman" w:hAnsi="Times New Roman" w:cs="Times New Roman"/>
          <w:bCs/>
          <w:sz w:val="24"/>
          <w:szCs w:val="24"/>
        </w:rPr>
        <w:t>DOC</w:t>
      </w:r>
      <w:r w:rsidR="0031462A">
        <w:rPr>
          <w:rFonts w:ascii="Times New Roman" w:hAnsi="Times New Roman" w:cs="Times New Roman"/>
          <w:bCs/>
          <w:sz w:val="24"/>
          <w:szCs w:val="24"/>
        </w:rPr>
        <w:t>)</w:t>
      </w:r>
      <w:r w:rsidRPr="00034DB3">
        <w:rPr>
          <w:rFonts w:ascii="Times New Roman" w:hAnsi="Times New Roman" w:cs="Times New Roman"/>
          <w:bCs/>
          <w:sz w:val="24"/>
          <w:szCs w:val="24"/>
        </w:rPr>
        <w:t xml:space="preserve"> custody on Rikers Island and other facilities, the overwhelming majority (5,681 persons or more than 85%) are awaiting trial; and</w:t>
      </w:r>
    </w:p>
    <w:p w14:paraId="7EF4BA19" w14:textId="4DCF8929"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 xml:space="preserve">Whereas, Under New York </w:t>
      </w:r>
      <w:r w:rsidR="0027064A" w:rsidRPr="0027064A">
        <w:rPr>
          <w:rFonts w:ascii="Times New Roman" w:hAnsi="Times New Roman" w:cs="Times New Roman"/>
          <w:bCs/>
          <w:sz w:val="24"/>
          <w:szCs w:val="24"/>
        </w:rPr>
        <w:t xml:space="preserve">Election Law </w:t>
      </w:r>
      <w:r w:rsidR="00106DFA">
        <w:rPr>
          <w:rFonts w:ascii="Times New Roman" w:hAnsi="Times New Roman" w:cs="Times New Roman"/>
          <w:bCs/>
          <w:sz w:val="24"/>
          <w:szCs w:val="24"/>
        </w:rPr>
        <w:t xml:space="preserve">section </w:t>
      </w:r>
      <w:r w:rsidR="0027064A" w:rsidRPr="0027064A">
        <w:rPr>
          <w:rFonts w:ascii="Times New Roman" w:hAnsi="Times New Roman" w:cs="Times New Roman"/>
          <w:bCs/>
          <w:sz w:val="24"/>
          <w:szCs w:val="24"/>
        </w:rPr>
        <w:t>5-106</w:t>
      </w:r>
      <w:r w:rsidRPr="002029F3">
        <w:rPr>
          <w:rFonts w:ascii="Times New Roman" w:hAnsi="Times New Roman" w:cs="Times New Roman"/>
          <w:bCs/>
          <w:sz w:val="24"/>
          <w:szCs w:val="24"/>
        </w:rPr>
        <w:t>, individuals detained in local jails who are awaiting trial or serving sentences for non-felony offenses retain their legal right to vote; and</w:t>
      </w:r>
    </w:p>
    <w:p w14:paraId="0D944C44" w14:textId="2963E141"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Despite this legal eligibility, many individuals in custody face substantial practical</w:t>
      </w:r>
      <w:r w:rsidR="00BF479B">
        <w:rPr>
          <w:rFonts w:ascii="Times New Roman" w:hAnsi="Times New Roman" w:cs="Times New Roman"/>
          <w:bCs/>
          <w:sz w:val="24"/>
          <w:szCs w:val="24"/>
        </w:rPr>
        <w:t xml:space="preserve"> </w:t>
      </w:r>
      <w:r w:rsidRPr="002029F3">
        <w:rPr>
          <w:rFonts w:ascii="Times New Roman" w:hAnsi="Times New Roman" w:cs="Times New Roman"/>
          <w:bCs/>
          <w:sz w:val="24"/>
          <w:szCs w:val="24"/>
        </w:rPr>
        <w:t>barriers that prevent them from registering to vote and casting a ballot, including limited access to information, administrative hurdles, and logistical challenges associated with detention; and</w:t>
      </w:r>
    </w:p>
    <w:p w14:paraId="0D3E97DC" w14:textId="77777777"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The current reliance on absentee voting as the primary method for incarcerated individuals to participate in elections has proven insufficient to ensure consistent and meaningful access to the ballot; and</w:t>
      </w:r>
    </w:p>
    <w:p w14:paraId="35548D84" w14:textId="77777777" w:rsid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Gaps in coordination between election authorities and correctional institutions have resulted in inconsistent practices across facilities, delays in the distribution and return of voting materials, and a lack of transparency in tracking voter participation; and</w:t>
      </w:r>
    </w:p>
    <w:p w14:paraId="262FFF59" w14:textId="05C69777" w:rsidR="00BB5AC2" w:rsidRDefault="00BB5AC2" w:rsidP="00034DB3">
      <w:pPr>
        <w:spacing w:line="480" w:lineRule="auto"/>
        <w:ind w:firstLine="720"/>
        <w:contextualSpacing/>
        <w:jc w:val="both"/>
        <w:rPr>
          <w:rFonts w:ascii="Times New Roman" w:hAnsi="Times New Roman" w:cs="Times New Roman"/>
          <w:bCs/>
          <w:sz w:val="24"/>
          <w:szCs w:val="24"/>
        </w:rPr>
      </w:pPr>
      <w:r w:rsidRPr="00BB5AC2">
        <w:rPr>
          <w:rFonts w:ascii="Times New Roman" w:hAnsi="Times New Roman" w:cs="Times New Roman"/>
          <w:bCs/>
          <w:sz w:val="24"/>
          <w:szCs w:val="24"/>
        </w:rPr>
        <w:lastRenderedPageBreak/>
        <w:t xml:space="preserve">Whereas, Data cited during </w:t>
      </w:r>
      <w:r>
        <w:rPr>
          <w:rFonts w:ascii="Times New Roman" w:hAnsi="Times New Roman" w:cs="Times New Roman"/>
          <w:bCs/>
          <w:sz w:val="24"/>
          <w:szCs w:val="24"/>
        </w:rPr>
        <w:t xml:space="preserve">Council </w:t>
      </w:r>
      <w:r w:rsidRPr="00BB5AC2">
        <w:rPr>
          <w:rFonts w:ascii="Times New Roman" w:hAnsi="Times New Roman" w:cs="Times New Roman"/>
          <w:bCs/>
          <w:sz w:val="24"/>
          <w:szCs w:val="24"/>
        </w:rPr>
        <w:t xml:space="preserve">testimony </w:t>
      </w:r>
      <w:r w:rsidR="007A7742" w:rsidRPr="007A7742">
        <w:rPr>
          <w:rFonts w:ascii="Times New Roman" w:hAnsi="Times New Roman" w:cs="Times New Roman"/>
          <w:bCs/>
          <w:sz w:val="24"/>
          <w:szCs w:val="24"/>
        </w:rPr>
        <w:t>on April 14, 2026</w:t>
      </w:r>
      <w:r w:rsidR="007A7742">
        <w:rPr>
          <w:rFonts w:ascii="Times New Roman" w:hAnsi="Times New Roman" w:cs="Times New Roman"/>
          <w:bCs/>
          <w:sz w:val="24"/>
          <w:szCs w:val="24"/>
        </w:rPr>
        <w:t xml:space="preserve"> </w:t>
      </w:r>
      <w:r w:rsidRPr="00BB5AC2">
        <w:rPr>
          <w:rFonts w:ascii="Times New Roman" w:hAnsi="Times New Roman" w:cs="Times New Roman"/>
          <w:bCs/>
          <w:sz w:val="24"/>
          <w:szCs w:val="24"/>
        </w:rPr>
        <w:t>from the Vote in New York City Jails coalition and formerly incarcerated advocates shows significant gaps between eligibility and actual ballot participation, including reports that fewer than 10</w:t>
      </w:r>
      <w:r>
        <w:rPr>
          <w:rFonts w:ascii="Times New Roman" w:hAnsi="Times New Roman" w:cs="Times New Roman"/>
          <w:bCs/>
          <w:sz w:val="24"/>
          <w:szCs w:val="24"/>
        </w:rPr>
        <w:t>%</w:t>
      </w:r>
      <w:r w:rsidRPr="00BB5AC2">
        <w:rPr>
          <w:rFonts w:ascii="Times New Roman" w:hAnsi="Times New Roman" w:cs="Times New Roman"/>
          <w:bCs/>
          <w:sz w:val="24"/>
          <w:szCs w:val="24"/>
        </w:rPr>
        <w:t xml:space="preserve"> of eligible individuals ultimately cast ballots in some election cycles</w:t>
      </w:r>
      <w:r>
        <w:rPr>
          <w:rFonts w:ascii="Times New Roman" w:hAnsi="Times New Roman" w:cs="Times New Roman"/>
          <w:bCs/>
          <w:sz w:val="24"/>
          <w:szCs w:val="24"/>
        </w:rPr>
        <w:t xml:space="preserve">, </w:t>
      </w:r>
      <w:r w:rsidRPr="00BB5AC2">
        <w:rPr>
          <w:rFonts w:ascii="Times New Roman" w:hAnsi="Times New Roman" w:cs="Times New Roman"/>
          <w:bCs/>
          <w:sz w:val="24"/>
          <w:szCs w:val="24"/>
        </w:rPr>
        <w:t>reflecting breakdowns in the absentee voting pipeline</w:t>
      </w:r>
      <w:r>
        <w:rPr>
          <w:rFonts w:ascii="Times New Roman" w:hAnsi="Times New Roman" w:cs="Times New Roman"/>
          <w:bCs/>
          <w:sz w:val="24"/>
          <w:szCs w:val="24"/>
        </w:rPr>
        <w:t>; and</w:t>
      </w:r>
    </w:p>
    <w:p w14:paraId="3787AA95" w14:textId="004D8C63" w:rsidR="00BB5AC2" w:rsidRPr="002029F3" w:rsidRDefault="00BB5AC2" w:rsidP="00034DB3">
      <w:pPr>
        <w:spacing w:line="480" w:lineRule="auto"/>
        <w:ind w:firstLine="720"/>
        <w:contextualSpacing/>
        <w:jc w:val="both"/>
        <w:rPr>
          <w:rFonts w:ascii="Times New Roman" w:hAnsi="Times New Roman" w:cs="Times New Roman"/>
          <w:bCs/>
          <w:sz w:val="24"/>
          <w:szCs w:val="24"/>
        </w:rPr>
      </w:pPr>
      <w:r w:rsidRPr="00BB5AC2">
        <w:rPr>
          <w:rFonts w:ascii="Times New Roman" w:hAnsi="Times New Roman" w:cs="Times New Roman"/>
          <w:bCs/>
          <w:sz w:val="24"/>
          <w:szCs w:val="24"/>
        </w:rPr>
        <w:t>Whereas, Coalition testimony further indicated that voter education materials are often not readily visible or accessible on jail-issued tablets, with civic information described as difficult to locate and inconsistently available</w:t>
      </w:r>
      <w:r w:rsidR="00C17454" w:rsidRPr="00C17454">
        <w:t xml:space="preserve"> </w:t>
      </w:r>
      <w:r w:rsidR="00C17454" w:rsidRPr="00C17454">
        <w:rPr>
          <w:rFonts w:ascii="Times New Roman" w:hAnsi="Times New Roman" w:cs="Times New Roman"/>
          <w:bCs/>
          <w:sz w:val="24"/>
          <w:szCs w:val="24"/>
        </w:rPr>
        <w:t xml:space="preserve">across facilities and housing units, with some units receiving limited or no direct outreach during certain election cycles; </w:t>
      </w:r>
      <w:r w:rsidRPr="00BB5AC2">
        <w:rPr>
          <w:rFonts w:ascii="Times New Roman" w:hAnsi="Times New Roman" w:cs="Times New Roman"/>
          <w:bCs/>
          <w:sz w:val="24"/>
          <w:szCs w:val="24"/>
        </w:rPr>
        <w:t>and</w:t>
      </w:r>
    </w:p>
    <w:p w14:paraId="07C5DC72" w14:textId="77777777" w:rsid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The absence of standardized procedures and accountability mechanisms has contributed to confusion regarding voter eligibility and access, leaving many eligible individuals effectively disenfranchised despite their legal rights; and</w:t>
      </w:r>
    </w:p>
    <w:p w14:paraId="31992DC0" w14:textId="44CA0E29" w:rsidR="00344AF0" w:rsidRPr="002029F3" w:rsidRDefault="00344AF0" w:rsidP="00034DB3">
      <w:pPr>
        <w:spacing w:line="480" w:lineRule="auto"/>
        <w:ind w:firstLine="720"/>
        <w:contextualSpacing/>
        <w:jc w:val="both"/>
        <w:rPr>
          <w:rFonts w:ascii="Times New Roman" w:hAnsi="Times New Roman" w:cs="Times New Roman"/>
          <w:bCs/>
          <w:sz w:val="24"/>
          <w:szCs w:val="24"/>
        </w:rPr>
      </w:pPr>
      <w:r w:rsidRPr="00344AF0">
        <w:rPr>
          <w:rFonts w:ascii="Times New Roman" w:hAnsi="Times New Roman" w:cs="Times New Roman"/>
          <w:bCs/>
          <w:sz w:val="24"/>
          <w:szCs w:val="24"/>
        </w:rPr>
        <w:t>Whereas, Witnesses</w:t>
      </w:r>
      <w:r>
        <w:rPr>
          <w:rFonts w:ascii="Times New Roman" w:hAnsi="Times New Roman" w:cs="Times New Roman"/>
          <w:bCs/>
          <w:sz w:val="24"/>
          <w:szCs w:val="24"/>
        </w:rPr>
        <w:t xml:space="preserve"> further</w:t>
      </w:r>
      <w:r w:rsidRPr="00344AF0">
        <w:rPr>
          <w:rFonts w:ascii="Times New Roman" w:hAnsi="Times New Roman" w:cs="Times New Roman"/>
          <w:bCs/>
          <w:sz w:val="24"/>
          <w:szCs w:val="24"/>
        </w:rPr>
        <w:t xml:space="preserve"> testified </w:t>
      </w:r>
      <w:r>
        <w:rPr>
          <w:rFonts w:ascii="Times New Roman" w:hAnsi="Times New Roman" w:cs="Times New Roman"/>
          <w:bCs/>
          <w:sz w:val="24"/>
          <w:szCs w:val="24"/>
        </w:rPr>
        <w:t xml:space="preserve">at </w:t>
      </w:r>
      <w:r w:rsidR="007A7742">
        <w:rPr>
          <w:rFonts w:ascii="Times New Roman" w:hAnsi="Times New Roman" w:cs="Times New Roman"/>
          <w:bCs/>
          <w:sz w:val="24"/>
          <w:szCs w:val="24"/>
        </w:rPr>
        <w:t>the</w:t>
      </w:r>
      <w:r w:rsidR="00106DFA">
        <w:rPr>
          <w:rFonts w:ascii="Times New Roman" w:hAnsi="Times New Roman" w:cs="Times New Roman"/>
          <w:bCs/>
          <w:sz w:val="24"/>
          <w:szCs w:val="24"/>
        </w:rPr>
        <w:t xml:space="preserve"> recent Council</w:t>
      </w:r>
      <w:r>
        <w:rPr>
          <w:rFonts w:ascii="Times New Roman" w:hAnsi="Times New Roman" w:cs="Times New Roman"/>
          <w:bCs/>
          <w:sz w:val="24"/>
          <w:szCs w:val="24"/>
        </w:rPr>
        <w:t xml:space="preserve"> hearing</w:t>
      </w:r>
      <w:r w:rsidR="00106DFA">
        <w:rPr>
          <w:rFonts w:ascii="Times New Roman" w:hAnsi="Times New Roman" w:cs="Times New Roman"/>
          <w:bCs/>
          <w:sz w:val="24"/>
          <w:szCs w:val="24"/>
        </w:rPr>
        <w:t xml:space="preserve"> on this topic</w:t>
      </w:r>
      <w:r>
        <w:rPr>
          <w:rFonts w:ascii="Times New Roman" w:hAnsi="Times New Roman" w:cs="Times New Roman"/>
          <w:bCs/>
          <w:sz w:val="24"/>
          <w:szCs w:val="24"/>
        </w:rPr>
        <w:t xml:space="preserve"> </w:t>
      </w:r>
      <w:r w:rsidRPr="00344AF0">
        <w:rPr>
          <w:rFonts w:ascii="Times New Roman" w:hAnsi="Times New Roman" w:cs="Times New Roman"/>
          <w:bCs/>
          <w:sz w:val="24"/>
          <w:szCs w:val="24"/>
        </w:rPr>
        <w:t>that misinformation about eligibility remains common among detained individuals, with many incorrectly believing that prior convictions automatically disqualify them from voting despite state law protections; and</w:t>
      </w:r>
    </w:p>
    <w:p w14:paraId="758AA704" w14:textId="77777777" w:rsidR="00BB1053" w:rsidRDefault="00BB1053" w:rsidP="00034DB3">
      <w:pPr>
        <w:spacing w:line="480" w:lineRule="auto"/>
        <w:ind w:firstLine="720"/>
        <w:contextualSpacing/>
        <w:jc w:val="both"/>
        <w:rPr>
          <w:rFonts w:ascii="Times New Roman" w:hAnsi="Times New Roman" w:cs="Times New Roman"/>
          <w:bCs/>
          <w:sz w:val="24"/>
          <w:szCs w:val="24"/>
        </w:rPr>
      </w:pPr>
      <w:r w:rsidRPr="00BB1053">
        <w:rPr>
          <w:rFonts w:ascii="Times New Roman" w:hAnsi="Times New Roman" w:cs="Times New Roman"/>
          <w:bCs/>
          <w:sz w:val="24"/>
          <w:szCs w:val="24"/>
        </w:rPr>
        <w:t>Whereas, Advocates described challenges related to population movement within facilities, including transfers between housing units or buildings that can disrupt voter outreach, ballot delivery, and follow-up communication; and</w:t>
      </w:r>
    </w:p>
    <w:p w14:paraId="30851A5A" w14:textId="0E100E4D" w:rsidR="00BB1053" w:rsidRDefault="00BB1053" w:rsidP="00034DB3">
      <w:pPr>
        <w:spacing w:line="480" w:lineRule="auto"/>
        <w:ind w:firstLine="720"/>
        <w:contextualSpacing/>
        <w:jc w:val="both"/>
        <w:rPr>
          <w:rFonts w:ascii="Times New Roman" w:hAnsi="Times New Roman" w:cs="Times New Roman"/>
          <w:bCs/>
          <w:sz w:val="24"/>
          <w:szCs w:val="24"/>
        </w:rPr>
      </w:pPr>
      <w:r w:rsidRPr="00BB1053">
        <w:rPr>
          <w:rFonts w:ascii="Times New Roman" w:hAnsi="Times New Roman" w:cs="Times New Roman"/>
          <w:bCs/>
          <w:sz w:val="24"/>
          <w:szCs w:val="24"/>
        </w:rPr>
        <w:t>Whereas, Testimony from formerly incarcerated individuals and legal service providers called for expanded civic education, including regular and structured programming within facilities, noting that current efforts are largely dependent on outside organizations rather than institutionalized programming; and</w:t>
      </w:r>
    </w:p>
    <w:p w14:paraId="4C5BEE0B" w14:textId="17E2F8A5" w:rsidR="007A7742" w:rsidRDefault="007A7742" w:rsidP="007A7742">
      <w:pPr>
        <w:spacing w:line="480" w:lineRule="auto"/>
        <w:ind w:firstLine="720"/>
        <w:contextualSpacing/>
        <w:jc w:val="both"/>
        <w:rPr>
          <w:rFonts w:ascii="Times New Roman" w:hAnsi="Times New Roman" w:cs="Times New Roman"/>
          <w:bCs/>
          <w:sz w:val="24"/>
          <w:szCs w:val="24"/>
        </w:rPr>
      </w:pPr>
      <w:r w:rsidRPr="007A7742">
        <w:rPr>
          <w:rFonts w:ascii="Times New Roman" w:hAnsi="Times New Roman" w:cs="Times New Roman"/>
          <w:bCs/>
          <w:sz w:val="24"/>
          <w:szCs w:val="24"/>
        </w:rPr>
        <w:lastRenderedPageBreak/>
        <w:t xml:space="preserve">Whereas, The Executive Director of the </w:t>
      </w:r>
      <w:r>
        <w:rPr>
          <w:rFonts w:ascii="Times New Roman" w:hAnsi="Times New Roman" w:cs="Times New Roman"/>
          <w:bCs/>
          <w:sz w:val="24"/>
          <w:szCs w:val="24"/>
        </w:rPr>
        <w:t>B</w:t>
      </w:r>
      <w:r w:rsidRPr="007A7742">
        <w:rPr>
          <w:rFonts w:ascii="Times New Roman" w:hAnsi="Times New Roman" w:cs="Times New Roman"/>
          <w:bCs/>
          <w:sz w:val="24"/>
          <w:szCs w:val="24"/>
        </w:rPr>
        <w:t xml:space="preserve">oard of </w:t>
      </w:r>
      <w:r>
        <w:rPr>
          <w:rFonts w:ascii="Times New Roman" w:hAnsi="Times New Roman" w:cs="Times New Roman"/>
          <w:bCs/>
          <w:sz w:val="24"/>
          <w:szCs w:val="24"/>
        </w:rPr>
        <w:t>E</w:t>
      </w:r>
      <w:r w:rsidRPr="007A7742">
        <w:rPr>
          <w:rFonts w:ascii="Times New Roman" w:hAnsi="Times New Roman" w:cs="Times New Roman"/>
          <w:bCs/>
          <w:sz w:val="24"/>
          <w:szCs w:val="24"/>
        </w:rPr>
        <w:t xml:space="preserve">lections made clear </w:t>
      </w:r>
      <w:r>
        <w:rPr>
          <w:rFonts w:ascii="Times New Roman" w:hAnsi="Times New Roman" w:cs="Times New Roman"/>
          <w:bCs/>
          <w:sz w:val="24"/>
          <w:szCs w:val="24"/>
        </w:rPr>
        <w:t>his</w:t>
      </w:r>
      <w:r w:rsidRPr="007A7742">
        <w:rPr>
          <w:rFonts w:ascii="Times New Roman" w:hAnsi="Times New Roman" w:cs="Times New Roman"/>
          <w:bCs/>
          <w:sz w:val="24"/>
          <w:szCs w:val="24"/>
        </w:rPr>
        <w:t xml:space="preserve"> testimony</w:t>
      </w:r>
      <w:r>
        <w:rPr>
          <w:rFonts w:ascii="Times New Roman" w:hAnsi="Times New Roman" w:cs="Times New Roman"/>
          <w:bCs/>
          <w:sz w:val="24"/>
          <w:szCs w:val="24"/>
        </w:rPr>
        <w:t xml:space="preserve"> that</w:t>
      </w:r>
      <w:r w:rsidRPr="007A7742">
        <w:rPr>
          <w:rFonts w:ascii="Times New Roman" w:hAnsi="Times New Roman" w:cs="Times New Roman"/>
          <w:bCs/>
          <w:sz w:val="24"/>
          <w:szCs w:val="24"/>
        </w:rPr>
        <w:t xml:space="preserve"> the </w:t>
      </w:r>
      <w:r>
        <w:rPr>
          <w:rFonts w:ascii="Times New Roman" w:hAnsi="Times New Roman" w:cs="Times New Roman"/>
          <w:bCs/>
          <w:sz w:val="24"/>
          <w:szCs w:val="24"/>
        </w:rPr>
        <w:t>Board</w:t>
      </w:r>
      <w:r w:rsidRPr="007A7742">
        <w:rPr>
          <w:rFonts w:ascii="Times New Roman" w:hAnsi="Times New Roman" w:cs="Times New Roman"/>
          <w:bCs/>
          <w:sz w:val="24"/>
          <w:szCs w:val="24"/>
        </w:rPr>
        <w:t xml:space="preserve"> of </w:t>
      </w:r>
      <w:r>
        <w:rPr>
          <w:rFonts w:ascii="Times New Roman" w:hAnsi="Times New Roman" w:cs="Times New Roman"/>
          <w:bCs/>
          <w:sz w:val="24"/>
          <w:szCs w:val="24"/>
        </w:rPr>
        <w:t>E</w:t>
      </w:r>
      <w:r w:rsidRPr="007A7742">
        <w:rPr>
          <w:rFonts w:ascii="Times New Roman" w:hAnsi="Times New Roman" w:cs="Times New Roman"/>
          <w:bCs/>
          <w:sz w:val="24"/>
          <w:szCs w:val="24"/>
        </w:rPr>
        <w:t xml:space="preserve">lections will process voter registrations and ballot applications that it received, but will not coordinate or collaborate with DOC on a proactive plan to conduct </w:t>
      </w:r>
      <w:r w:rsidR="009275D2">
        <w:rPr>
          <w:rFonts w:ascii="Times New Roman" w:hAnsi="Times New Roman" w:cs="Times New Roman"/>
          <w:bCs/>
          <w:sz w:val="24"/>
          <w:szCs w:val="24"/>
        </w:rPr>
        <w:t>B</w:t>
      </w:r>
      <w:r w:rsidR="009275D2" w:rsidRPr="007A7742">
        <w:rPr>
          <w:rFonts w:ascii="Times New Roman" w:hAnsi="Times New Roman" w:cs="Times New Roman"/>
          <w:bCs/>
          <w:sz w:val="24"/>
          <w:szCs w:val="24"/>
        </w:rPr>
        <w:t>oard</w:t>
      </w:r>
      <w:r w:rsidRPr="007A7742">
        <w:rPr>
          <w:rFonts w:ascii="Times New Roman" w:hAnsi="Times New Roman" w:cs="Times New Roman"/>
          <w:bCs/>
          <w:sz w:val="24"/>
          <w:szCs w:val="24"/>
        </w:rPr>
        <w:t>-of-</w:t>
      </w:r>
      <w:r w:rsidR="009275D2">
        <w:rPr>
          <w:rFonts w:ascii="Times New Roman" w:hAnsi="Times New Roman" w:cs="Times New Roman"/>
          <w:bCs/>
          <w:sz w:val="24"/>
          <w:szCs w:val="24"/>
        </w:rPr>
        <w:t>E</w:t>
      </w:r>
      <w:r w:rsidR="009275D2" w:rsidRPr="007A7742">
        <w:rPr>
          <w:rFonts w:ascii="Times New Roman" w:hAnsi="Times New Roman" w:cs="Times New Roman"/>
          <w:bCs/>
          <w:sz w:val="24"/>
          <w:szCs w:val="24"/>
        </w:rPr>
        <w:t>lections</w:t>
      </w:r>
      <w:r w:rsidR="001E22DF">
        <w:rPr>
          <w:rFonts w:ascii="Times New Roman" w:hAnsi="Times New Roman" w:cs="Times New Roman"/>
          <w:bCs/>
          <w:sz w:val="24"/>
          <w:szCs w:val="24"/>
        </w:rPr>
        <w:t>-</w:t>
      </w:r>
      <w:r w:rsidRPr="007A7742">
        <w:rPr>
          <w:rFonts w:ascii="Times New Roman" w:hAnsi="Times New Roman" w:cs="Times New Roman"/>
          <w:bCs/>
          <w:sz w:val="24"/>
          <w:szCs w:val="24"/>
        </w:rPr>
        <w:t xml:space="preserve">led voter registration drives, nor deploy a poll site or an in-person absentee ballot distribution and collection program ahead of future elections, absent a change in state law that </w:t>
      </w:r>
      <w:r w:rsidR="009275D2">
        <w:rPr>
          <w:rFonts w:ascii="Times New Roman" w:hAnsi="Times New Roman" w:cs="Times New Roman"/>
          <w:bCs/>
          <w:sz w:val="24"/>
          <w:szCs w:val="24"/>
        </w:rPr>
        <w:t>directing them</w:t>
      </w:r>
      <w:r w:rsidRPr="007A7742">
        <w:rPr>
          <w:rFonts w:ascii="Times New Roman" w:hAnsi="Times New Roman" w:cs="Times New Roman"/>
          <w:bCs/>
          <w:sz w:val="24"/>
          <w:szCs w:val="24"/>
        </w:rPr>
        <w:t xml:space="preserve"> to do so; and</w:t>
      </w:r>
    </w:p>
    <w:p w14:paraId="31D8FE07" w14:textId="4FD942DC"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S.440</w:t>
      </w:r>
      <w:r w:rsidR="00E70AAF">
        <w:rPr>
          <w:rFonts w:ascii="Times New Roman" w:hAnsi="Times New Roman" w:cs="Times New Roman"/>
          <w:bCs/>
          <w:sz w:val="24"/>
          <w:szCs w:val="24"/>
        </w:rPr>
        <w:t xml:space="preserve">, sponsored by New York State Senator Zellnor Myrie, and </w:t>
      </w:r>
      <w:r w:rsidR="00E70AAF" w:rsidRPr="002029F3">
        <w:rPr>
          <w:rFonts w:ascii="Times New Roman" w:hAnsi="Times New Roman" w:cs="Times New Roman"/>
          <w:bCs/>
          <w:sz w:val="24"/>
          <w:szCs w:val="24"/>
        </w:rPr>
        <w:t>A.2121</w:t>
      </w:r>
      <w:r w:rsidR="00E70AAF">
        <w:rPr>
          <w:rFonts w:ascii="Times New Roman" w:hAnsi="Times New Roman" w:cs="Times New Roman"/>
          <w:bCs/>
          <w:sz w:val="24"/>
          <w:szCs w:val="24"/>
        </w:rPr>
        <w:t>, sponsored by</w:t>
      </w:r>
      <w:r w:rsidR="00E70AAF" w:rsidRPr="002029F3">
        <w:rPr>
          <w:rFonts w:ascii="Times New Roman" w:hAnsi="Times New Roman" w:cs="Times New Roman"/>
          <w:bCs/>
          <w:sz w:val="24"/>
          <w:szCs w:val="24"/>
        </w:rPr>
        <w:t xml:space="preserve"> </w:t>
      </w:r>
      <w:r w:rsidR="00E70AAF" w:rsidRPr="00E70AAF">
        <w:rPr>
          <w:rFonts w:ascii="Times New Roman" w:hAnsi="Times New Roman" w:cs="Times New Roman"/>
          <w:bCs/>
          <w:sz w:val="24"/>
          <w:szCs w:val="24"/>
        </w:rPr>
        <w:t>New York State Assemblymember</w:t>
      </w:r>
      <w:r w:rsidR="00E70AAF">
        <w:rPr>
          <w:rFonts w:ascii="Times New Roman" w:hAnsi="Times New Roman" w:cs="Times New Roman"/>
          <w:bCs/>
          <w:sz w:val="24"/>
          <w:szCs w:val="24"/>
        </w:rPr>
        <w:t xml:space="preserve"> Latrice Walker,</w:t>
      </w:r>
      <w:r w:rsidR="00E70AAF" w:rsidRPr="00E70AAF">
        <w:rPr>
          <w:rFonts w:ascii="Times New Roman" w:hAnsi="Times New Roman" w:cs="Times New Roman"/>
          <w:bCs/>
          <w:sz w:val="24"/>
          <w:szCs w:val="24"/>
        </w:rPr>
        <w:t xml:space="preserve"> </w:t>
      </w:r>
      <w:r w:rsidR="00BB1053">
        <w:rPr>
          <w:rFonts w:ascii="Times New Roman" w:hAnsi="Times New Roman" w:cs="Times New Roman"/>
          <w:bCs/>
          <w:sz w:val="24"/>
          <w:szCs w:val="24"/>
        </w:rPr>
        <w:t>would</w:t>
      </w:r>
      <w:r w:rsidRPr="002029F3">
        <w:rPr>
          <w:rFonts w:ascii="Times New Roman" w:hAnsi="Times New Roman" w:cs="Times New Roman"/>
          <w:bCs/>
          <w:sz w:val="24"/>
          <w:szCs w:val="24"/>
        </w:rPr>
        <w:t xml:space="preserve"> establish a comprehensive and uniform framework to facilitate voting access for eligible individuals in correctional facilities, including authorizing the use of poll sites, strengthening absentee ballot processes, and requiring coordination between election and correctional officials; and</w:t>
      </w:r>
    </w:p>
    <w:p w14:paraId="6C961D8B" w14:textId="0AD0BE58"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Th</w:t>
      </w:r>
      <w:r w:rsidR="00BB1053">
        <w:rPr>
          <w:rFonts w:ascii="Times New Roman" w:hAnsi="Times New Roman" w:cs="Times New Roman"/>
          <w:bCs/>
          <w:sz w:val="24"/>
          <w:szCs w:val="24"/>
        </w:rPr>
        <w:t>is</w:t>
      </w:r>
      <w:r w:rsidRPr="002029F3">
        <w:rPr>
          <w:rFonts w:ascii="Times New Roman" w:hAnsi="Times New Roman" w:cs="Times New Roman"/>
          <w:bCs/>
          <w:sz w:val="24"/>
          <w:szCs w:val="24"/>
        </w:rPr>
        <w:t xml:space="preserve"> legislation provides local election authorities with flexible tools to meet the needs of diverse jurisdictions, while also establishing baseline standards to ensure that eligible voters in custody are afforded a meaningful opportunity to participate in elections; and</w:t>
      </w:r>
    </w:p>
    <w:p w14:paraId="55F856E1" w14:textId="0E8C6FE2"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 xml:space="preserve">Whereas, </w:t>
      </w:r>
      <w:r w:rsidR="00BB1053" w:rsidRPr="002029F3">
        <w:rPr>
          <w:rFonts w:ascii="Times New Roman" w:hAnsi="Times New Roman" w:cs="Times New Roman"/>
          <w:bCs/>
          <w:sz w:val="24"/>
          <w:szCs w:val="24"/>
        </w:rPr>
        <w:t>S.440/A.2121</w:t>
      </w:r>
      <w:r w:rsidR="00BB1053">
        <w:rPr>
          <w:rFonts w:ascii="Times New Roman" w:hAnsi="Times New Roman" w:cs="Times New Roman"/>
          <w:bCs/>
          <w:sz w:val="24"/>
          <w:szCs w:val="24"/>
        </w:rPr>
        <w:t xml:space="preserve"> seeks to </w:t>
      </w:r>
      <w:r w:rsidRPr="002029F3">
        <w:rPr>
          <w:rFonts w:ascii="Times New Roman" w:hAnsi="Times New Roman" w:cs="Times New Roman"/>
          <w:bCs/>
          <w:sz w:val="24"/>
          <w:szCs w:val="24"/>
        </w:rPr>
        <w:t>promote greater transparency and accountability by clarifying roles and responsibilities, improving data collection, and ensuring that voting access is not dependent on ad hoc or inconsistent practices; and</w:t>
      </w:r>
    </w:p>
    <w:p w14:paraId="3329D978" w14:textId="1C55C0E9"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Th</w:t>
      </w:r>
      <w:r w:rsidR="00BB1053">
        <w:rPr>
          <w:rFonts w:ascii="Times New Roman" w:hAnsi="Times New Roman" w:cs="Times New Roman"/>
          <w:bCs/>
          <w:sz w:val="24"/>
          <w:szCs w:val="24"/>
        </w:rPr>
        <w:t>is</w:t>
      </w:r>
      <w:r w:rsidRPr="002029F3">
        <w:rPr>
          <w:rFonts w:ascii="Times New Roman" w:hAnsi="Times New Roman" w:cs="Times New Roman"/>
          <w:bCs/>
          <w:sz w:val="24"/>
          <w:szCs w:val="24"/>
        </w:rPr>
        <w:t xml:space="preserve"> legislation also recognizes the unique challenges posed by large and complex jail systems, such as those in New York City, and calls for enhanced measures to address scale, language access, disability accommodations, and timely delivery of voting services; and</w:t>
      </w:r>
    </w:p>
    <w:p w14:paraId="6788A15D" w14:textId="77777777" w:rsidR="002029F3" w:rsidRPr="002029F3"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t>Whereas, By strengthening coordination between state and local agencies, this legislation would help ensure that eligible individuals in custody are provided with accurate information, timely access to voting materials, and the support necessary to successfully cast a ballot; and</w:t>
      </w:r>
    </w:p>
    <w:p w14:paraId="6C9C9490" w14:textId="50949B7A" w:rsidR="000E043E" w:rsidRPr="00544E2A" w:rsidRDefault="002029F3" w:rsidP="00034DB3">
      <w:pPr>
        <w:spacing w:line="480" w:lineRule="auto"/>
        <w:ind w:firstLine="720"/>
        <w:contextualSpacing/>
        <w:jc w:val="both"/>
        <w:rPr>
          <w:rFonts w:ascii="Times New Roman" w:hAnsi="Times New Roman" w:cs="Times New Roman"/>
          <w:bCs/>
          <w:sz w:val="24"/>
          <w:szCs w:val="24"/>
        </w:rPr>
      </w:pPr>
      <w:r w:rsidRPr="002029F3">
        <w:rPr>
          <w:rFonts w:ascii="Times New Roman" w:hAnsi="Times New Roman" w:cs="Times New Roman"/>
          <w:bCs/>
          <w:sz w:val="24"/>
          <w:szCs w:val="24"/>
        </w:rPr>
        <w:lastRenderedPageBreak/>
        <w:t>Whereas, Expanding voting access within correctional facilities aligns with New York’s longstanding commitment to protecting civil rights and promoting fair and inclusive democratic participation</w:t>
      </w:r>
      <w:r w:rsidR="000E043E" w:rsidRPr="00544E2A">
        <w:rPr>
          <w:rFonts w:ascii="Times New Roman" w:hAnsi="Times New Roman" w:cs="Times New Roman"/>
          <w:sz w:val="24"/>
          <w:szCs w:val="24"/>
        </w:rPr>
        <w:t>; now</w:t>
      </w:r>
      <w:r w:rsidR="00327792" w:rsidRPr="00544E2A">
        <w:rPr>
          <w:rFonts w:ascii="Times New Roman" w:hAnsi="Times New Roman" w:cs="Times New Roman"/>
          <w:sz w:val="24"/>
          <w:szCs w:val="24"/>
        </w:rPr>
        <w:t>,</w:t>
      </w:r>
      <w:r w:rsidR="000E043E" w:rsidRPr="00544E2A">
        <w:rPr>
          <w:rFonts w:ascii="Times New Roman" w:hAnsi="Times New Roman" w:cs="Times New Roman"/>
          <w:sz w:val="24"/>
          <w:szCs w:val="24"/>
        </w:rPr>
        <w:t xml:space="preserve"> therefore</w:t>
      </w:r>
      <w:r w:rsidR="00327792" w:rsidRPr="00544E2A">
        <w:rPr>
          <w:rFonts w:ascii="Times New Roman" w:hAnsi="Times New Roman" w:cs="Times New Roman"/>
          <w:sz w:val="24"/>
          <w:szCs w:val="24"/>
        </w:rPr>
        <w:t>,</w:t>
      </w:r>
      <w:r w:rsidR="000E043E" w:rsidRPr="00544E2A">
        <w:rPr>
          <w:rFonts w:ascii="Times New Roman" w:hAnsi="Times New Roman" w:cs="Times New Roman"/>
          <w:sz w:val="24"/>
          <w:szCs w:val="24"/>
        </w:rPr>
        <w:t xml:space="preserve"> be it</w:t>
      </w:r>
    </w:p>
    <w:p w14:paraId="4DFC42EF" w14:textId="4FABBCDF" w:rsidR="008B0AF8" w:rsidRPr="00544E2A" w:rsidRDefault="008B0AF8" w:rsidP="00034DB3">
      <w:pPr>
        <w:spacing w:line="480" w:lineRule="auto"/>
        <w:ind w:firstLine="720"/>
        <w:contextualSpacing/>
        <w:jc w:val="both"/>
        <w:rPr>
          <w:rFonts w:ascii="Times New Roman" w:hAnsi="Times New Roman" w:cs="Times New Roman"/>
          <w:sz w:val="24"/>
          <w:szCs w:val="24"/>
        </w:rPr>
      </w:pPr>
      <w:r w:rsidRPr="00544E2A">
        <w:rPr>
          <w:rFonts w:ascii="Times New Roman" w:hAnsi="Times New Roman" w:cs="Times New Roman"/>
          <w:bCs/>
          <w:sz w:val="24"/>
          <w:szCs w:val="24"/>
        </w:rPr>
        <w:t>Resolved,</w:t>
      </w:r>
      <w:r w:rsidRPr="00544E2A">
        <w:rPr>
          <w:rFonts w:ascii="Times New Roman" w:hAnsi="Times New Roman" w:cs="Times New Roman"/>
          <w:sz w:val="24"/>
          <w:szCs w:val="24"/>
        </w:rPr>
        <w:t xml:space="preserve"> that the Council of the City of New York calls on the New York State Legislature to pass, and the Governor to sign, </w:t>
      </w:r>
      <w:r w:rsidR="00392584" w:rsidRPr="00544E2A">
        <w:rPr>
          <w:rFonts w:ascii="Times New Roman" w:hAnsi="Times New Roman" w:cs="Times New Roman"/>
          <w:sz w:val="24"/>
          <w:szCs w:val="24"/>
        </w:rPr>
        <w:t>S</w:t>
      </w:r>
      <w:r w:rsidR="00106DFA">
        <w:rPr>
          <w:rFonts w:ascii="Times New Roman" w:hAnsi="Times New Roman" w:cs="Times New Roman"/>
          <w:sz w:val="24"/>
          <w:szCs w:val="24"/>
        </w:rPr>
        <w:t>.</w:t>
      </w:r>
      <w:r w:rsidR="00392584" w:rsidRPr="00544E2A">
        <w:rPr>
          <w:rFonts w:ascii="Times New Roman" w:hAnsi="Times New Roman" w:cs="Times New Roman"/>
          <w:sz w:val="24"/>
          <w:szCs w:val="24"/>
        </w:rPr>
        <w:t>440/A</w:t>
      </w:r>
      <w:r w:rsidR="00106DFA">
        <w:rPr>
          <w:rFonts w:ascii="Times New Roman" w:hAnsi="Times New Roman" w:cs="Times New Roman"/>
          <w:sz w:val="24"/>
          <w:szCs w:val="24"/>
        </w:rPr>
        <w:t>.</w:t>
      </w:r>
      <w:r w:rsidR="00392584" w:rsidRPr="00544E2A">
        <w:rPr>
          <w:rFonts w:ascii="Times New Roman" w:hAnsi="Times New Roman" w:cs="Times New Roman"/>
          <w:sz w:val="24"/>
          <w:szCs w:val="24"/>
        </w:rPr>
        <w:t>2121, in relation to voting rights and access for incarcerated individuals.</w:t>
      </w:r>
    </w:p>
    <w:p w14:paraId="61A0B6F2" w14:textId="77777777" w:rsidR="00ED2AA2" w:rsidRPr="008B0AF8" w:rsidRDefault="00ED2AA2" w:rsidP="00973845">
      <w:pPr>
        <w:spacing w:line="480" w:lineRule="auto"/>
        <w:contextualSpacing/>
        <w:rPr>
          <w:rFonts w:ascii="Times New Roman" w:hAnsi="Times New Roman" w:cs="Times New Roman"/>
          <w:sz w:val="24"/>
          <w:szCs w:val="24"/>
        </w:rPr>
      </w:pPr>
    </w:p>
    <w:p w14:paraId="6D973FDF" w14:textId="77777777" w:rsidR="000E043E" w:rsidRPr="005616A4" w:rsidRDefault="000E043E" w:rsidP="000E043E">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t>CMB</w:t>
      </w:r>
    </w:p>
    <w:p w14:paraId="5E7A45AC" w14:textId="6F466B1B" w:rsidR="000E043E" w:rsidRPr="005616A4" w:rsidRDefault="000E043E" w:rsidP="000E043E">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Pr="005616A4">
        <w:rPr>
          <w:rFonts w:ascii="Times New Roman" w:hAnsi="Times New Roman" w:cs="Times New Roman"/>
          <w:sz w:val="20"/>
          <w:szCs w:val="20"/>
        </w:rPr>
        <w:t>#</w:t>
      </w:r>
      <w:r w:rsidR="00392584" w:rsidRPr="00392584">
        <w:rPr>
          <w:rFonts w:ascii="Times New Roman" w:hAnsi="Times New Roman" w:cs="Times New Roman"/>
          <w:sz w:val="20"/>
          <w:szCs w:val="20"/>
        </w:rPr>
        <w:t>23509</w:t>
      </w:r>
    </w:p>
    <w:p w14:paraId="224B4965" w14:textId="5CAA1359" w:rsidR="00694455" w:rsidRPr="001E22DF" w:rsidRDefault="001E22DF" w:rsidP="008B0AF8">
      <w:pPr>
        <w:spacing w:line="480" w:lineRule="auto"/>
        <w:rPr>
          <w:rFonts w:ascii="Times New Roman" w:hAnsi="Times New Roman" w:cs="Times New Roman"/>
          <w:sz w:val="24"/>
          <w:szCs w:val="24"/>
        </w:rPr>
      </w:pPr>
      <w:r>
        <w:rPr>
          <w:rFonts w:ascii="Times New Roman" w:hAnsi="Times New Roman" w:cs="Times New Roman"/>
          <w:sz w:val="20"/>
          <w:szCs w:val="20"/>
        </w:rPr>
        <w:t>4/28/26</w:t>
      </w:r>
    </w:p>
    <w:sectPr w:rsidR="00694455" w:rsidRPr="001E22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D5A"/>
    <w:multiLevelType w:val="multilevel"/>
    <w:tmpl w:val="F0A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55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F8"/>
    <w:rsid w:val="00002195"/>
    <w:rsid w:val="00015045"/>
    <w:rsid w:val="00034DB3"/>
    <w:rsid w:val="000778B0"/>
    <w:rsid w:val="000E043E"/>
    <w:rsid w:val="00106DFA"/>
    <w:rsid w:val="001878EE"/>
    <w:rsid w:val="001E22DF"/>
    <w:rsid w:val="002029F3"/>
    <w:rsid w:val="0027064A"/>
    <w:rsid w:val="00271D56"/>
    <w:rsid w:val="002857D4"/>
    <w:rsid w:val="00290A14"/>
    <w:rsid w:val="002A450C"/>
    <w:rsid w:val="002D0902"/>
    <w:rsid w:val="0031462A"/>
    <w:rsid w:val="00327792"/>
    <w:rsid w:val="00344AF0"/>
    <w:rsid w:val="003509B3"/>
    <w:rsid w:val="00392052"/>
    <w:rsid w:val="00392584"/>
    <w:rsid w:val="003F22BD"/>
    <w:rsid w:val="004615D8"/>
    <w:rsid w:val="004701CD"/>
    <w:rsid w:val="004A41A8"/>
    <w:rsid w:val="004E0B83"/>
    <w:rsid w:val="00544E2A"/>
    <w:rsid w:val="00552B9D"/>
    <w:rsid w:val="00572283"/>
    <w:rsid w:val="005933FA"/>
    <w:rsid w:val="005B1CE6"/>
    <w:rsid w:val="005C46D6"/>
    <w:rsid w:val="0060196A"/>
    <w:rsid w:val="00616E72"/>
    <w:rsid w:val="00623137"/>
    <w:rsid w:val="00640917"/>
    <w:rsid w:val="00694455"/>
    <w:rsid w:val="006A1D5C"/>
    <w:rsid w:val="006C03E1"/>
    <w:rsid w:val="006C0919"/>
    <w:rsid w:val="006D65F4"/>
    <w:rsid w:val="00703257"/>
    <w:rsid w:val="0070519B"/>
    <w:rsid w:val="007505D1"/>
    <w:rsid w:val="00784EFC"/>
    <w:rsid w:val="007A7742"/>
    <w:rsid w:val="007D5BB3"/>
    <w:rsid w:val="007F1B80"/>
    <w:rsid w:val="00881DB0"/>
    <w:rsid w:val="008B0AF8"/>
    <w:rsid w:val="009275D2"/>
    <w:rsid w:val="00973845"/>
    <w:rsid w:val="009C6EFB"/>
    <w:rsid w:val="00BB1053"/>
    <w:rsid w:val="00BB5AC2"/>
    <w:rsid w:val="00BC782A"/>
    <w:rsid w:val="00BF2E47"/>
    <w:rsid w:val="00BF479B"/>
    <w:rsid w:val="00C17454"/>
    <w:rsid w:val="00CB3203"/>
    <w:rsid w:val="00CD4190"/>
    <w:rsid w:val="00CD5F89"/>
    <w:rsid w:val="00D93E99"/>
    <w:rsid w:val="00DA761A"/>
    <w:rsid w:val="00E45DF0"/>
    <w:rsid w:val="00E70AAF"/>
    <w:rsid w:val="00ED2AA2"/>
    <w:rsid w:val="00F04701"/>
    <w:rsid w:val="00F24664"/>
    <w:rsid w:val="00FF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0CEA"/>
  <w15:chartTrackingRefBased/>
  <w15:docId w15:val="{DBE3E88E-4CB9-4F5E-9FD4-1BFCD10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50C"/>
    <w:rPr>
      <w:color w:val="0563C1" w:themeColor="hyperlink"/>
      <w:u w:val="single"/>
    </w:rPr>
  </w:style>
  <w:style w:type="character" w:styleId="FollowedHyperlink">
    <w:name w:val="FollowedHyperlink"/>
    <w:basedOn w:val="DefaultParagraphFont"/>
    <w:uiPriority w:val="99"/>
    <w:semiHidden/>
    <w:unhideWhenUsed/>
    <w:rsid w:val="003F22BD"/>
    <w:rPr>
      <w:color w:val="954F72" w:themeColor="followedHyperlink"/>
      <w:u w:val="single"/>
    </w:rPr>
  </w:style>
  <w:style w:type="paragraph" w:styleId="NormalWeb">
    <w:name w:val="Normal (Web)"/>
    <w:basedOn w:val="Normal"/>
    <w:uiPriority w:val="99"/>
    <w:semiHidden/>
    <w:unhideWhenUsed/>
    <w:rsid w:val="002029F3"/>
    <w:rPr>
      <w:rFonts w:ascii="Times New Roman" w:hAnsi="Times New Roman" w:cs="Times New Roman"/>
      <w:sz w:val="24"/>
      <w:szCs w:val="24"/>
    </w:rPr>
  </w:style>
  <w:style w:type="paragraph" w:styleId="Revision">
    <w:name w:val="Revision"/>
    <w:hidden/>
    <w:uiPriority w:val="99"/>
    <w:semiHidden/>
    <w:rsid w:val="00106D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66117">
      <w:bodyDiv w:val="1"/>
      <w:marLeft w:val="0"/>
      <w:marRight w:val="0"/>
      <w:marTop w:val="0"/>
      <w:marBottom w:val="0"/>
      <w:divBdr>
        <w:top w:val="none" w:sz="0" w:space="0" w:color="auto"/>
        <w:left w:val="none" w:sz="0" w:space="0" w:color="auto"/>
        <w:bottom w:val="none" w:sz="0" w:space="0" w:color="auto"/>
        <w:right w:val="none" w:sz="0" w:space="0" w:color="auto"/>
      </w:divBdr>
    </w:div>
    <w:div w:id="728308158">
      <w:bodyDiv w:val="1"/>
      <w:marLeft w:val="0"/>
      <w:marRight w:val="0"/>
      <w:marTop w:val="0"/>
      <w:marBottom w:val="0"/>
      <w:divBdr>
        <w:top w:val="none" w:sz="0" w:space="0" w:color="auto"/>
        <w:left w:val="none" w:sz="0" w:space="0" w:color="auto"/>
        <w:bottom w:val="none" w:sz="0" w:space="0" w:color="auto"/>
        <w:right w:val="none" w:sz="0" w:space="0" w:color="auto"/>
      </w:divBdr>
    </w:div>
    <w:div w:id="789933727">
      <w:bodyDiv w:val="1"/>
      <w:marLeft w:val="0"/>
      <w:marRight w:val="0"/>
      <w:marTop w:val="0"/>
      <w:marBottom w:val="0"/>
      <w:divBdr>
        <w:top w:val="none" w:sz="0" w:space="0" w:color="auto"/>
        <w:left w:val="none" w:sz="0" w:space="0" w:color="auto"/>
        <w:bottom w:val="none" w:sz="0" w:space="0" w:color="auto"/>
        <w:right w:val="none" w:sz="0" w:space="0" w:color="auto"/>
      </w:divBdr>
    </w:div>
    <w:div w:id="1268388264">
      <w:bodyDiv w:val="1"/>
      <w:marLeft w:val="0"/>
      <w:marRight w:val="0"/>
      <w:marTop w:val="0"/>
      <w:marBottom w:val="0"/>
      <w:divBdr>
        <w:top w:val="none" w:sz="0" w:space="0" w:color="auto"/>
        <w:left w:val="none" w:sz="0" w:space="0" w:color="auto"/>
        <w:bottom w:val="none" w:sz="0" w:space="0" w:color="auto"/>
        <w:right w:val="none" w:sz="0" w:space="0" w:color="auto"/>
      </w:divBdr>
      <w:divsChild>
        <w:div w:id="1161122456">
          <w:marLeft w:val="0"/>
          <w:marRight w:val="0"/>
          <w:marTop w:val="0"/>
          <w:marBottom w:val="0"/>
          <w:divBdr>
            <w:top w:val="none" w:sz="0" w:space="0" w:color="auto"/>
            <w:left w:val="none" w:sz="0" w:space="0" w:color="auto"/>
            <w:bottom w:val="none" w:sz="0" w:space="0" w:color="auto"/>
            <w:right w:val="none" w:sz="0" w:space="0" w:color="auto"/>
          </w:divBdr>
        </w:div>
        <w:div w:id="742065404">
          <w:marLeft w:val="0"/>
          <w:marRight w:val="0"/>
          <w:marTop w:val="0"/>
          <w:marBottom w:val="0"/>
          <w:divBdr>
            <w:top w:val="none" w:sz="0" w:space="0" w:color="auto"/>
            <w:left w:val="none" w:sz="0" w:space="0" w:color="auto"/>
            <w:bottom w:val="none" w:sz="0" w:space="0" w:color="auto"/>
            <w:right w:val="none" w:sz="0" w:space="0" w:color="auto"/>
          </w:divBdr>
        </w:div>
        <w:div w:id="1054692146">
          <w:marLeft w:val="0"/>
          <w:marRight w:val="0"/>
          <w:marTop w:val="0"/>
          <w:marBottom w:val="0"/>
          <w:divBdr>
            <w:top w:val="none" w:sz="0" w:space="0" w:color="auto"/>
            <w:left w:val="none" w:sz="0" w:space="0" w:color="auto"/>
            <w:bottom w:val="none" w:sz="0" w:space="0" w:color="auto"/>
            <w:right w:val="none" w:sz="0" w:space="0" w:color="auto"/>
          </w:divBdr>
        </w:div>
        <w:div w:id="963265575">
          <w:marLeft w:val="0"/>
          <w:marRight w:val="0"/>
          <w:marTop w:val="0"/>
          <w:marBottom w:val="0"/>
          <w:divBdr>
            <w:top w:val="none" w:sz="0" w:space="0" w:color="auto"/>
            <w:left w:val="none" w:sz="0" w:space="0" w:color="auto"/>
            <w:bottom w:val="none" w:sz="0" w:space="0" w:color="auto"/>
            <w:right w:val="none" w:sz="0" w:space="0" w:color="auto"/>
          </w:divBdr>
        </w:div>
        <w:div w:id="596257824">
          <w:marLeft w:val="0"/>
          <w:marRight w:val="0"/>
          <w:marTop w:val="0"/>
          <w:marBottom w:val="0"/>
          <w:divBdr>
            <w:top w:val="none" w:sz="0" w:space="0" w:color="auto"/>
            <w:left w:val="none" w:sz="0" w:space="0" w:color="auto"/>
            <w:bottom w:val="none" w:sz="0" w:space="0" w:color="auto"/>
            <w:right w:val="none" w:sz="0" w:space="0" w:color="auto"/>
          </w:divBdr>
        </w:div>
      </w:divsChild>
    </w:div>
    <w:div w:id="2083914461">
      <w:bodyDiv w:val="1"/>
      <w:marLeft w:val="0"/>
      <w:marRight w:val="0"/>
      <w:marTop w:val="0"/>
      <w:marBottom w:val="0"/>
      <w:divBdr>
        <w:top w:val="none" w:sz="0" w:space="0" w:color="auto"/>
        <w:left w:val="none" w:sz="0" w:space="0" w:color="auto"/>
        <w:bottom w:val="none" w:sz="0" w:space="0" w:color="auto"/>
        <w:right w:val="none" w:sz="0" w:space="0" w:color="auto"/>
      </w:divBdr>
      <w:divsChild>
        <w:div w:id="1015620829">
          <w:marLeft w:val="0"/>
          <w:marRight w:val="0"/>
          <w:marTop w:val="0"/>
          <w:marBottom w:val="0"/>
          <w:divBdr>
            <w:top w:val="none" w:sz="0" w:space="0" w:color="auto"/>
            <w:left w:val="none" w:sz="0" w:space="0" w:color="auto"/>
            <w:bottom w:val="none" w:sz="0" w:space="0" w:color="auto"/>
            <w:right w:val="none" w:sz="0" w:space="0" w:color="auto"/>
          </w:divBdr>
        </w:div>
        <w:div w:id="1479570341">
          <w:marLeft w:val="0"/>
          <w:marRight w:val="0"/>
          <w:marTop w:val="0"/>
          <w:marBottom w:val="0"/>
          <w:divBdr>
            <w:top w:val="none" w:sz="0" w:space="0" w:color="auto"/>
            <w:left w:val="none" w:sz="0" w:space="0" w:color="auto"/>
            <w:bottom w:val="none" w:sz="0" w:space="0" w:color="auto"/>
            <w:right w:val="none" w:sz="0" w:space="0" w:color="auto"/>
          </w:divBdr>
        </w:div>
        <w:div w:id="824391649">
          <w:marLeft w:val="0"/>
          <w:marRight w:val="0"/>
          <w:marTop w:val="0"/>
          <w:marBottom w:val="0"/>
          <w:divBdr>
            <w:top w:val="none" w:sz="0" w:space="0" w:color="auto"/>
            <w:left w:val="none" w:sz="0" w:space="0" w:color="auto"/>
            <w:bottom w:val="none" w:sz="0" w:space="0" w:color="auto"/>
            <w:right w:val="none" w:sz="0" w:space="0" w:color="auto"/>
          </w:divBdr>
        </w:div>
        <w:div w:id="108357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5</cp:revision>
  <dcterms:created xsi:type="dcterms:W3CDTF">2026-04-28T19:04:00Z</dcterms:created>
  <dcterms:modified xsi:type="dcterms:W3CDTF">2026-05-15T11:31:00Z</dcterms:modified>
</cp:coreProperties>
</file>