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742473" w:rsidRDefault="00176BEB">
      <w:pPr>
        <w:pStyle w:val="Heading1"/>
        <w:keepNext w:val="0"/>
        <w:keepLines w:val="0"/>
        <w:spacing w:before="480" w:after="0" w:line="168" w:lineRule="auto"/>
        <w:rPr>
          <w:rFonts w:ascii="Calibri" w:eastAsia="Calibri" w:hAnsi="Calibri" w:cs="Calibri"/>
          <w:b/>
          <w:bCs/>
          <w:color w:val="365F91"/>
          <w:sz w:val="28"/>
          <w:szCs w:val="28"/>
        </w:rPr>
      </w:pPr>
      <w:bookmarkStart w:id="0" w:name="_ao8m96qfam3n" w:colFirst="0" w:colLast="0"/>
      <w:bookmarkEnd w:id="0"/>
      <w:r>
        <w:rPr>
          <w:rFonts w:ascii="Calibri" w:eastAsia="Calibri" w:hAnsi="Calibri" w:cs="Calibri"/>
          <w:b/>
          <w:bCs/>
          <w:color w:val="365F91"/>
          <w:sz w:val="28"/>
          <w:szCs w:val="28"/>
        </w:rPr>
        <w:t>New York City Council</w:t>
      </w:r>
    </w:p>
    <w:p w14:paraId="00000002" w14:textId="77777777" w:rsidR="00742473" w:rsidRDefault="00176BEB">
      <w:pPr>
        <w:pStyle w:val="Heading2"/>
        <w:keepNext w:val="0"/>
        <w:keepLines w:val="0"/>
        <w:spacing w:before="200" w:after="0" w:line="211" w:lineRule="auto"/>
        <w:rPr>
          <w:rFonts w:ascii="Calibri" w:eastAsia="Calibri" w:hAnsi="Calibri" w:cs="Calibri"/>
          <w:b/>
          <w:bCs/>
          <w:color w:val="4F81BD"/>
          <w:sz w:val="28"/>
          <w:szCs w:val="28"/>
        </w:rPr>
      </w:pPr>
      <w:bookmarkStart w:id="1" w:name="_cufly3r1tymj" w:colFirst="0" w:colLast="0"/>
      <w:bookmarkEnd w:id="1"/>
      <w:r>
        <w:rPr>
          <w:rFonts w:ascii="Calibri" w:eastAsia="Calibri" w:hAnsi="Calibri" w:cs="Calibri"/>
          <w:b/>
          <w:bCs/>
          <w:color w:val="4F81BD"/>
          <w:sz w:val="28"/>
          <w:szCs w:val="28"/>
        </w:rPr>
        <w:t>Memorandum in Support of Legislation</w:t>
      </w:r>
    </w:p>
    <w:p w14:paraId="00000003" w14:textId="77777777" w:rsidR="00742473" w:rsidRDefault="00176BEB">
      <w:pPr>
        <w:spacing w:after="20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This memorandum is authored by the sponsor and explains the need for the legislation referenced below, in accordance with Rule 6.00(d) of the Rules of the Council.</w:t>
      </w:r>
    </w:p>
    <w:p w14:paraId="00000004" w14:textId="77777777" w:rsidR="00742473" w:rsidRDefault="00742473">
      <w:pPr>
        <w:spacing w:after="200"/>
        <w:rPr>
          <w:rFonts w:ascii="Calibri" w:eastAsia="Calibri" w:hAnsi="Calibri" w:cs="Calibri"/>
          <w:sz w:val="24"/>
          <w:szCs w:val="24"/>
        </w:rPr>
      </w:pPr>
    </w:p>
    <w:p w14:paraId="00000005" w14:textId="77777777" w:rsidR="00742473" w:rsidRDefault="00176BEB">
      <w:pPr>
        <w:spacing w:after="20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Legislative Service Number:</w:t>
      </w:r>
    </w:p>
    <w:p w14:paraId="00000006" w14:textId="77777777" w:rsidR="00742473" w:rsidRDefault="00176BEB">
      <w:pPr>
        <w:numPr>
          <w:ilvl w:val="0"/>
          <w:numId w:val="1"/>
        </w:numPr>
        <w:spacing w:after="20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LS </w:t>
      </w:r>
      <w:proofErr w:type="gramStart"/>
      <w:r>
        <w:rPr>
          <w:rFonts w:ascii="Calibri" w:eastAsia="Calibri" w:hAnsi="Calibri" w:cs="Calibri"/>
          <w:sz w:val="24"/>
          <w:szCs w:val="24"/>
        </w:rPr>
        <w:t>No  #</w:t>
      </w:r>
      <w:proofErr w:type="gramEnd"/>
      <w:r>
        <w:rPr>
          <w:rFonts w:ascii="Calibri" w:eastAsia="Calibri" w:hAnsi="Calibri" w:cs="Calibri"/>
          <w:sz w:val="24"/>
          <w:szCs w:val="24"/>
        </w:rPr>
        <w:t>20969 / LS #2475 (aka T2026-1885 Int)</w:t>
      </w:r>
    </w:p>
    <w:p w14:paraId="00000007" w14:textId="77777777" w:rsidR="00742473" w:rsidRDefault="00176BEB">
      <w:pPr>
        <w:spacing w:after="20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Prime Sponsor:</w:t>
      </w:r>
    </w:p>
    <w:p w14:paraId="00000008" w14:textId="77777777" w:rsidR="00742473" w:rsidRDefault="00176BEB">
      <w:pPr>
        <w:numPr>
          <w:ilvl w:val="0"/>
          <w:numId w:val="4"/>
        </w:numPr>
        <w:spacing w:after="20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Council Member Sandy Nurse</w:t>
      </w:r>
    </w:p>
    <w:p w14:paraId="00000009" w14:textId="77777777" w:rsidR="00742473" w:rsidRDefault="00176BEB">
      <w:pPr>
        <w:spacing w:after="20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Bill Title:</w:t>
      </w:r>
    </w:p>
    <w:p w14:paraId="0000000A" w14:textId="77777777" w:rsidR="00742473" w:rsidRDefault="00176BEB">
      <w:pPr>
        <w:numPr>
          <w:ilvl w:val="0"/>
          <w:numId w:val="2"/>
        </w:numPr>
        <w:spacing w:after="20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 Local Law to amend the administrative code of the city of New York, in relation to </w:t>
      </w:r>
      <w:proofErr w:type="gramStart"/>
      <w:r>
        <w:rPr>
          <w:rFonts w:ascii="Calibri" w:eastAsia="Calibri" w:hAnsi="Calibri" w:cs="Calibri"/>
          <w:sz w:val="24"/>
          <w:szCs w:val="24"/>
        </w:rPr>
        <w:t>giving  qualified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entities a first opportunity to submit a statement of interest and a first opportunity </w:t>
      </w:r>
      <w:proofErr w:type="gramStart"/>
      <w:r>
        <w:rPr>
          <w:rFonts w:ascii="Calibri" w:eastAsia="Calibri" w:hAnsi="Calibri" w:cs="Calibri"/>
          <w:sz w:val="24"/>
          <w:szCs w:val="24"/>
        </w:rPr>
        <w:t>to  purchase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certain properties</w:t>
      </w:r>
    </w:p>
    <w:p w14:paraId="0000000B" w14:textId="77777777" w:rsidR="00742473" w:rsidRDefault="00176BEB">
      <w:pPr>
        <w:spacing w:after="20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Submitted by:</w:t>
      </w:r>
    </w:p>
    <w:p w14:paraId="0000000C" w14:textId="77777777" w:rsidR="00742473" w:rsidRDefault="00176BEB">
      <w:pPr>
        <w:numPr>
          <w:ilvl w:val="0"/>
          <w:numId w:val="3"/>
        </w:numPr>
        <w:spacing w:after="20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Council Member Sandy Nurse</w:t>
      </w:r>
    </w:p>
    <w:p w14:paraId="0000000D" w14:textId="77777777" w:rsidR="00742473" w:rsidRDefault="00176BEB">
      <w:pPr>
        <w:pStyle w:val="Heading3"/>
        <w:keepNext w:val="0"/>
        <w:keepLines w:val="0"/>
        <w:spacing w:before="200" w:after="0" w:line="233" w:lineRule="auto"/>
        <w:rPr>
          <w:rFonts w:ascii="Calibri" w:eastAsia="Calibri" w:hAnsi="Calibri" w:cs="Calibri"/>
          <w:b/>
          <w:bCs/>
          <w:color w:val="4F81BD"/>
        </w:rPr>
      </w:pPr>
      <w:bookmarkStart w:id="2" w:name="_hekzkv8nxo29" w:colFirst="0" w:colLast="0"/>
      <w:bookmarkEnd w:id="2"/>
      <w:r>
        <w:rPr>
          <w:rFonts w:ascii="Calibri" w:eastAsia="Calibri" w:hAnsi="Calibri" w:cs="Calibri"/>
          <w:b/>
          <w:bCs/>
          <w:color w:val="4F81BD"/>
        </w:rPr>
        <w:t>Justification</w:t>
      </w:r>
    </w:p>
    <w:p w14:paraId="0000000E" w14:textId="77777777" w:rsidR="00742473" w:rsidRDefault="00742473">
      <w:pPr>
        <w:rPr>
          <w:rFonts w:ascii="Calibri" w:eastAsia="Calibri" w:hAnsi="Calibri" w:cs="Calibri"/>
          <w:sz w:val="24"/>
          <w:szCs w:val="24"/>
        </w:rPr>
      </w:pPr>
    </w:p>
    <w:p w14:paraId="0000000F" w14:textId="77777777" w:rsidR="00742473" w:rsidRDefault="00176BEB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New York City needs stronger preservation tools to stabilize an increasingly distressed affordable housing sector. Years of overleveraging, inflating costs, and stagnating revenues have resulted in </w:t>
      </w:r>
      <w:hyperlink r:id="rId5"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>bank failures</w:t>
        </w:r>
      </w:hyperlink>
      <w:r>
        <w:rPr>
          <w:rFonts w:ascii="Calibri" w:eastAsia="Calibri" w:hAnsi="Calibri" w:cs="Calibri"/>
          <w:sz w:val="24"/>
          <w:szCs w:val="24"/>
        </w:rPr>
        <w:t xml:space="preserve">, large-scale </w:t>
      </w:r>
      <w:hyperlink r:id="rId6"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>auctions</w:t>
        </w:r>
      </w:hyperlink>
      <w:r>
        <w:rPr>
          <w:rFonts w:ascii="Calibri" w:eastAsia="Calibri" w:hAnsi="Calibri" w:cs="Calibri"/>
          <w:sz w:val="24"/>
          <w:szCs w:val="24"/>
        </w:rPr>
        <w:t xml:space="preserve"> and </w:t>
      </w:r>
      <w:hyperlink r:id="rId7"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>foreclosures</w:t>
        </w:r>
      </w:hyperlink>
      <w:r>
        <w:rPr>
          <w:rFonts w:ascii="Calibri" w:eastAsia="Calibri" w:hAnsi="Calibri" w:cs="Calibri"/>
          <w:sz w:val="24"/>
          <w:szCs w:val="24"/>
        </w:rPr>
        <w:t xml:space="preserve">, and </w:t>
      </w:r>
      <w:hyperlink r:id="rId8"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>deflating</w:t>
        </w:r>
      </w:hyperlink>
      <w:r>
        <w:rPr>
          <w:rFonts w:ascii="Calibri" w:eastAsia="Calibri" w:hAnsi="Calibri" w:cs="Calibri"/>
          <w:sz w:val="24"/>
          <w:szCs w:val="24"/>
        </w:rPr>
        <w:t xml:space="preserve"> prices from pre-2019 HSTPA levels. These conditions present a challenge but also an opportunity for affordable housing operators to purchase at-risk buildings to ensure long-term affordability and prevent displacement. The Community Opportunity to Purchase Act (COPA) is a necessary legal tool that would give qualified entities (QEs) the first opportunity to purchase a small set of eligible buildings when they go on sale. This can interrupt the cycle of flipping, allow QEs to compete with all-cash purchases</w:t>
      </w:r>
      <w:r>
        <w:rPr>
          <w:rFonts w:ascii="Calibri" w:eastAsia="Calibri" w:hAnsi="Calibri" w:cs="Calibri"/>
          <w:sz w:val="24"/>
          <w:szCs w:val="24"/>
        </w:rPr>
        <w:t>, and help stabilize communities.</w:t>
      </w:r>
    </w:p>
    <w:p w14:paraId="00000010" w14:textId="77777777" w:rsidR="00742473" w:rsidRDefault="00742473">
      <w:pPr>
        <w:rPr>
          <w:rFonts w:ascii="Calibri" w:eastAsia="Calibri" w:hAnsi="Calibri" w:cs="Calibri"/>
          <w:sz w:val="24"/>
          <w:szCs w:val="24"/>
        </w:rPr>
      </w:pPr>
    </w:p>
    <w:p w14:paraId="00000011" w14:textId="77777777" w:rsidR="00742473" w:rsidRDefault="00742473">
      <w:pPr>
        <w:rPr>
          <w:rFonts w:ascii="Calibri" w:eastAsia="Calibri" w:hAnsi="Calibri" w:cs="Calibri"/>
          <w:sz w:val="24"/>
          <w:szCs w:val="24"/>
        </w:rPr>
      </w:pPr>
    </w:p>
    <w:sectPr w:rsidR="00742473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E418E30F-7B65-4ED0-8BC6-4D4A47ACC5CC}"/>
    <w:embedBold r:id="rId2" w:fontKey="{06DC128E-47CA-493A-8508-6FCBD7FFAD0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97F7F055-4C57-436D-8B81-5544675DC328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468C9"/>
    <w:multiLevelType w:val="multilevel"/>
    <w:tmpl w:val="9F42497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2B372A0"/>
    <w:multiLevelType w:val="multilevel"/>
    <w:tmpl w:val="7038773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748A235D"/>
    <w:multiLevelType w:val="multilevel"/>
    <w:tmpl w:val="D8BAE57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7A5C5FE6"/>
    <w:multiLevelType w:val="multilevel"/>
    <w:tmpl w:val="9DB0F4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680041516">
    <w:abstractNumId w:val="0"/>
  </w:num>
  <w:num w:numId="2" w16cid:durableId="2091462103">
    <w:abstractNumId w:val="1"/>
  </w:num>
  <w:num w:numId="3" w16cid:durableId="1351032763">
    <w:abstractNumId w:val="2"/>
  </w:num>
  <w:num w:numId="4" w16cid:durableId="904702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2473"/>
    <w:rsid w:val="00176BEB"/>
    <w:rsid w:val="00444F5A"/>
    <w:rsid w:val="00742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78B5DD4-66F9-46DE-85AB-2F0691028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redaily.com/briefs/rent-stabilized-buildings-face-financial-crisis-in-new-york-city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redaily.com/briefs/rent-stabilized-portfolio-faces-foreclosure-in-east-harle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loomberg.com/news/articles/2025-09-22/over-5-000-nyc-rent-stabilized-apartments-headed-for-auction" TargetMode="External"/><Relationship Id="rId5" Type="http://schemas.openxmlformats.org/officeDocument/2006/relationships/hyperlink" Target="https://www.thecity.nyc/2023/05/03/signature-bank-mortgages-tenants-rent-stabilized-worst-landlords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1632</Characters>
  <Application>Microsoft Office Word</Application>
  <DocSecurity>4</DocSecurity>
  <Lines>13</Lines>
  <Paragraphs>3</Paragraphs>
  <ScaleCrop>false</ScaleCrop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Jeffries, Jillian</dc:creator>
  <cp:lastModifiedBy>Jeffries, Jillian</cp:lastModifiedBy>
  <cp:revision>2</cp:revision>
  <dcterms:created xsi:type="dcterms:W3CDTF">2026-05-14T20:52:00Z</dcterms:created>
  <dcterms:modified xsi:type="dcterms:W3CDTF">2026-05-14T20:52:00Z</dcterms:modified>
</cp:coreProperties>
</file>