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20598" w14:textId="0076588C" w:rsidR="00544DCF" w:rsidRPr="004E1596" w:rsidRDefault="00544DCF" w:rsidP="00544DCF">
      <w:pPr>
        <w:spacing w:after="0"/>
        <w:jc w:val="right"/>
        <w:rPr>
          <w:rFonts w:cs="Times New Roman"/>
          <w:sz w:val="18"/>
          <w:szCs w:val="18"/>
        </w:rPr>
      </w:pPr>
      <w:r w:rsidRPr="004E1596">
        <w:rPr>
          <w:rFonts w:eastAsia="Times New Roman" w:cs="Times New Roman"/>
          <w:sz w:val="18"/>
          <w:szCs w:val="18"/>
          <w:u w:val="single"/>
        </w:rPr>
        <w:t>Committee on Health</w:t>
      </w:r>
      <w:r w:rsidR="00AB0B66" w:rsidRPr="004E1596">
        <w:rPr>
          <w:rFonts w:eastAsia="Times New Roman" w:cs="Times New Roman"/>
          <w:sz w:val="18"/>
          <w:szCs w:val="18"/>
          <w:u w:val="single"/>
        </w:rPr>
        <w:t xml:space="preserve"> Staff</w:t>
      </w:r>
    </w:p>
    <w:p w14:paraId="74CFDD67" w14:textId="77777777" w:rsidR="00544DCF" w:rsidRPr="004E1596" w:rsidRDefault="00544DCF" w:rsidP="00544DCF">
      <w:pPr>
        <w:spacing w:after="0"/>
        <w:jc w:val="right"/>
        <w:rPr>
          <w:rFonts w:cs="Times New Roman"/>
          <w:sz w:val="18"/>
          <w:szCs w:val="18"/>
        </w:rPr>
      </w:pPr>
      <w:r w:rsidRPr="004E1596">
        <w:rPr>
          <w:rFonts w:eastAsia="Times New Roman" w:cs="Times New Roman"/>
          <w:sz w:val="18"/>
          <w:szCs w:val="18"/>
        </w:rPr>
        <w:t>Christopher Pepe,</w:t>
      </w:r>
      <w:r w:rsidRPr="004E1596">
        <w:rPr>
          <w:rFonts w:eastAsia="Times New Roman" w:cs="Times New Roman"/>
          <w:i/>
          <w:sz w:val="18"/>
          <w:szCs w:val="18"/>
        </w:rPr>
        <w:t xml:space="preserve"> Senior Legislative Counsel</w:t>
      </w:r>
    </w:p>
    <w:p w14:paraId="54F18722" w14:textId="4528F409" w:rsidR="00544DCF" w:rsidRPr="004E1596" w:rsidRDefault="00B67E73" w:rsidP="2B6D8316">
      <w:pPr>
        <w:spacing w:after="0"/>
        <w:jc w:val="right"/>
        <w:rPr>
          <w:rFonts w:eastAsia="Times New Roman" w:cs="Times New Roman"/>
          <w:i/>
          <w:iCs/>
          <w:sz w:val="18"/>
          <w:szCs w:val="18"/>
        </w:rPr>
      </w:pPr>
      <w:r>
        <w:rPr>
          <w:rFonts w:eastAsia="Times New Roman" w:cs="Times New Roman"/>
          <w:sz w:val="18"/>
          <w:szCs w:val="18"/>
        </w:rPr>
        <w:t>Elizabeth Arzt</w:t>
      </w:r>
      <w:r w:rsidR="00544DCF" w:rsidRPr="004E1596">
        <w:rPr>
          <w:rFonts w:eastAsia="Times New Roman" w:cs="Times New Roman"/>
          <w:sz w:val="18"/>
          <w:szCs w:val="18"/>
        </w:rPr>
        <w:t xml:space="preserve">, </w:t>
      </w:r>
      <w:r w:rsidR="0012301F" w:rsidRPr="004E1596">
        <w:rPr>
          <w:rFonts w:eastAsia="Times New Roman" w:cs="Times New Roman"/>
          <w:i/>
          <w:iCs/>
          <w:sz w:val="18"/>
          <w:szCs w:val="18"/>
        </w:rPr>
        <w:t xml:space="preserve">Senior </w:t>
      </w:r>
      <w:r w:rsidR="00544DCF" w:rsidRPr="004E1596">
        <w:rPr>
          <w:rFonts w:eastAsia="Times New Roman" w:cs="Times New Roman"/>
          <w:i/>
          <w:iCs/>
          <w:sz w:val="18"/>
          <w:szCs w:val="18"/>
        </w:rPr>
        <w:t xml:space="preserve">Legislative </w:t>
      </w:r>
      <w:r>
        <w:rPr>
          <w:rFonts w:eastAsia="Times New Roman" w:cs="Times New Roman"/>
          <w:i/>
          <w:iCs/>
          <w:sz w:val="18"/>
          <w:szCs w:val="18"/>
        </w:rPr>
        <w:t>Policy Analyst</w:t>
      </w:r>
    </w:p>
    <w:p w14:paraId="4010E549" w14:textId="546358B8" w:rsidR="0012301F" w:rsidRPr="004E1596" w:rsidRDefault="0012301F" w:rsidP="2B6D8316">
      <w:pPr>
        <w:spacing w:after="0"/>
        <w:jc w:val="right"/>
        <w:rPr>
          <w:rFonts w:eastAsia="Times New Roman" w:cs="Times New Roman"/>
          <w:i/>
          <w:iCs/>
          <w:sz w:val="18"/>
          <w:szCs w:val="18"/>
        </w:rPr>
      </w:pPr>
      <w:r w:rsidRPr="004E1596">
        <w:rPr>
          <w:rFonts w:eastAsia="Times New Roman" w:cs="Times New Roman"/>
          <w:sz w:val="18"/>
          <w:szCs w:val="18"/>
        </w:rPr>
        <w:t xml:space="preserve">Josh Newman, </w:t>
      </w:r>
      <w:r w:rsidRPr="004E1596">
        <w:rPr>
          <w:rFonts w:eastAsia="Times New Roman" w:cs="Times New Roman"/>
          <w:i/>
          <w:iCs/>
          <w:sz w:val="18"/>
          <w:szCs w:val="18"/>
        </w:rPr>
        <w:t>Legislative Policy Analyst</w:t>
      </w:r>
    </w:p>
    <w:p w14:paraId="44D1164C" w14:textId="3A334FDD" w:rsidR="00C96002" w:rsidRPr="004E1596" w:rsidRDefault="00C96002" w:rsidP="2B6D8316">
      <w:pPr>
        <w:spacing w:after="0"/>
        <w:jc w:val="right"/>
        <w:rPr>
          <w:rFonts w:eastAsia="Times New Roman" w:cs="Times New Roman"/>
          <w:i/>
          <w:iCs/>
          <w:sz w:val="18"/>
          <w:szCs w:val="18"/>
        </w:rPr>
      </w:pPr>
      <w:r w:rsidRPr="004E1596">
        <w:rPr>
          <w:rStyle w:val="ui-provider"/>
          <w:rFonts w:cs="Times New Roman"/>
          <w:sz w:val="18"/>
          <w:szCs w:val="18"/>
        </w:rPr>
        <w:t xml:space="preserve">Reese Hirota, </w:t>
      </w:r>
      <w:r w:rsidRPr="004E1596">
        <w:rPr>
          <w:rStyle w:val="ui-provider"/>
          <w:rFonts w:cs="Times New Roman"/>
          <w:i/>
          <w:sz w:val="18"/>
          <w:szCs w:val="18"/>
        </w:rPr>
        <w:t>Data Scientist</w:t>
      </w:r>
    </w:p>
    <w:p w14:paraId="36D8F9CE" w14:textId="21F71043" w:rsidR="001F3BA3" w:rsidRPr="004E1596" w:rsidRDefault="009C7FB1" w:rsidP="001F3BA3">
      <w:pPr>
        <w:spacing w:after="0"/>
        <w:jc w:val="right"/>
        <w:rPr>
          <w:rFonts w:eastAsia="Times New Roman" w:cs="Times New Roman"/>
          <w:i/>
          <w:iCs/>
          <w:sz w:val="18"/>
          <w:szCs w:val="18"/>
        </w:rPr>
      </w:pPr>
      <w:r>
        <w:rPr>
          <w:rFonts w:eastAsia="Times New Roman" w:cs="Times New Roman"/>
          <w:iCs/>
          <w:sz w:val="18"/>
          <w:szCs w:val="18"/>
        </w:rPr>
        <w:t>Lukas Lopez-Jensen</w:t>
      </w:r>
      <w:r w:rsidR="001F3BA3" w:rsidRPr="004E1596">
        <w:rPr>
          <w:rFonts w:eastAsia="Times New Roman" w:cs="Times New Roman"/>
          <w:iCs/>
          <w:sz w:val="18"/>
          <w:szCs w:val="18"/>
        </w:rPr>
        <w:t xml:space="preserve">, </w:t>
      </w:r>
      <w:r w:rsidR="001F3BA3" w:rsidRPr="004E1596">
        <w:rPr>
          <w:rFonts w:eastAsia="Times New Roman" w:cs="Times New Roman"/>
          <w:i/>
          <w:iCs/>
          <w:sz w:val="18"/>
          <w:szCs w:val="18"/>
        </w:rPr>
        <w:t>Data Scientist</w:t>
      </w:r>
    </w:p>
    <w:p w14:paraId="0E60DF4B" w14:textId="77777777" w:rsidR="001F3BA3" w:rsidRPr="004E1596" w:rsidRDefault="001F3BA3" w:rsidP="001F3BA3">
      <w:pPr>
        <w:spacing w:after="0"/>
        <w:jc w:val="right"/>
        <w:rPr>
          <w:rFonts w:cs="Times New Roman"/>
          <w:i/>
          <w:sz w:val="18"/>
          <w:szCs w:val="18"/>
        </w:rPr>
      </w:pPr>
      <w:r w:rsidRPr="004E1596">
        <w:rPr>
          <w:rStyle w:val="ui-provider"/>
          <w:rFonts w:cs="Times New Roman"/>
          <w:iCs/>
          <w:sz w:val="18"/>
          <w:szCs w:val="18"/>
        </w:rPr>
        <w:t xml:space="preserve">Danylo Orlov, </w:t>
      </w:r>
      <w:r w:rsidRPr="004E1596">
        <w:rPr>
          <w:rStyle w:val="ui-provider"/>
          <w:rFonts w:cs="Times New Roman"/>
          <w:i/>
          <w:sz w:val="18"/>
          <w:szCs w:val="18"/>
        </w:rPr>
        <w:t>Data Scientist</w:t>
      </w:r>
    </w:p>
    <w:p w14:paraId="3562EBA1" w14:textId="77777777" w:rsidR="001F3BA3" w:rsidRPr="004E1596" w:rsidRDefault="001F3BA3" w:rsidP="001F3BA3">
      <w:pPr>
        <w:spacing w:after="0"/>
        <w:jc w:val="right"/>
        <w:rPr>
          <w:rFonts w:eastAsia="Times New Roman" w:cs="Times New Roman"/>
          <w:i/>
          <w:sz w:val="18"/>
          <w:szCs w:val="18"/>
        </w:rPr>
      </w:pPr>
      <w:r w:rsidRPr="004E1596">
        <w:rPr>
          <w:rFonts w:eastAsia="Times New Roman" w:cs="Times New Roman"/>
          <w:sz w:val="18"/>
          <w:szCs w:val="18"/>
        </w:rPr>
        <w:t xml:space="preserve">Florentine Kabore, </w:t>
      </w:r>
      <w:r w:rsidRPr="004E1596">
        <w:rPr>
          <w:rFonts w:eastAsia="Times New Roman" w:cs="Times New Roman"/>
          <w:i/>
          <w:sz w:val="18"/>
          <w:szCs w:val="18"/>
        </w:rPr>
        <w:t>Finance Unit Head</w:t>
      </w:r>
    </w:p>
    <w:p w14:paraId="0912F1F5" w14:textId="0836F030" w:rsidR="001F3BA3" w:rsidRPr="00933352" w:rsidRDefault="001F3BA3" w:rsidP="00163D96">
      <w:pPr>
        <w:spacing w:after="0"/>
        <w:jc w:val="right"/>
        <w:rPr>
          <w:rFonts w:eastAsia="Times New Roman" w:cs="Times New Roman"/>
          <w:i/>
          <w:iCs/>
          <w:sz w:val="20"/>
          <w:szCs w:val="20"/>
          <w:lang w:val="es-ES"/>
        </w:rPr>
      </w:pPr>
      <w:r w:rsidRPr="00933352">
        <w:rPr>
          <w:rFonts w:eastAsia="Times New Roman" w:cs="Times New Roman"/>
          <w:sz w:val="18"/>
          <w:szCs w:val="18"/>
          <w:lang w:val="es-ES"/>
        </w:rPr>
        <w:t xml:space="preserve">Valeria Lazaro-Rodriguez, </w:t>
      </w:r>
      <w:r w:rsidRPr="00933352">
        <w:rPr>
          <w:rFonts w:eastAsia="Times New Roman" w:cs="Times New Roman"/>
          <w:i/>
          <w:sz w:val="18"/>
          <w:szCs w:val="18"/>
          <w:lang w:val="es-ES"/>
        </w:rPr>
        <w:t>Financial Analyst</w:t>
      </w:r>
    </w:p>
    <w:p w14:paraId="3B495A13" w14:textId="77777777" w:rsidR="0012301F" w:rsidRPr="00933352" w:rsidRDefault="0012301F" w:rsidP="2B6D8316">
      <w:pPr>
        <w:spacing w:after="0"/>
        <w:jc w:val="right"/>
        <w:rPr>
          <w:rFonts w:eastAsia="Times New Roman" w:cs="Times New Roman"/>
          <w:sz w:val="20"/>
          <w:szCs w:val="20"/>
          <w:lang w:val="es-ES"/>
        </w:rPr>
      </w:pPr>
    </w:p>
    <w:p w14:paraId="672A6659" w14:textId="77777777" w:rsidR="00544DCF" w:rsidRPr="00933352" w:rsidRDefault="00544DCF" w:rsidP="00544DCF">
      <w:pPr>
        <w:spacing w:after="0"/>
        <w:jc w:val="right"/>
        <w:rPr>
          <w:rFonts w:eastAsia="Times New Roman" w:cs="Times New Roman"/>
          <w:i/>
          <w:szCs w:val="24"/>
          <w:lang w:val="es-ES"/>
        </w:rPr>
      </w:pPr>
    </w:p>
    <w:p w14:paraId="29D6B04F" w14:textId="09B22D90" w:rsidR="00544DCF" w:rsidRPr="00933352" w:rsidRDefault="00544DCF" w:rsidP="00544DCF">
      <w:pPr>
        <w:jc w:val="center"/>
        <w:rPr>
          <w:rFonts w:eastAsia="Times New Roman" w:cs="Times New Roman"/>
          <w:szCs w:val="24"/>
          <w:lang w:val="es-ES"/>
        </w:rPr>
      </w:pPr>
      <w:r w:rsidRPr="00F46BCF">
        <w:rPr>
          <w:rFonts w:cs="Times New Roman"/>
          <w:noProof/>
          <w:szCs w:val="24"/>
        </w:rPr>
        <w:drawing>
          <wp:inline distT="0" distB="0" distL="0" distR="0" wp14:anchorId="640B6860" wp14:editId="53C75615">
            <wp:extent cx="1573602" cy="1613139"/>
            <wp:effectExtent l="0" t="0" r="7620" b="6350"/>
            <wp:docPr id="181002709" name="Picture 18100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596030" cy="1636130"/>
                    </a:xfrm>
                    <a:prstGeom prst="rect">
                      <a:avLst/>
                    </a:prstGeom>
                  </pic:spPr>
                </pic:pic>
              </a:graphicData>
            </a:graphic>
          </wp:inline>
        </w:drawing>
      </w:r>
      <w:r w:rsidRPr="00933352">
        <w:rPr>
          <w:rFonts w:eastAsia="Times New Roman" w:cs="Times New Roman"/>
          <w:b/>
          <w:bCs/>
          <w:szCs w:val="24"/>
          <w:lang w:val="es-ES"/>
        </w:rPr>
        <w:t xml:space="preserve"> </w:t>
      </w:r>
    </w:p>
    <w:p w14:paraId="6F3DA698" w14:textId="77777777" w:rsidR="00544DCF" w:rsidRPr="00395226" w:rsidRDefault="00544DCF" w:rsidP="00544DCF">
      <w:pPr>
        <w:spacing w:after="0"/>
        <w:jc w:val="center"/>
        <w:rPr>
          <w:rFonts w:cs="Times New Roman"/>
          <w:szCs w:val="24"/>
        </w:rPr>
      </w:pPr>
      <w:r w:rsidRPr="00395226">
        <w:rPr>
          <w:rFonts w:eastAsia="Times New Roman" w:cs="Times New Roman"/>
          <w:b/>
          <w:bCs/>
          <w:szCs w:val="24"/>
        </w:rPr>
        <w:t>The Council of the City of New York</w:t>
      </w:r>
    </w:p>
    <w:p w14:paraId="0A6959E7" w14:textId="77777777" w:rsidR="00544DCF" w:rsidRPr="00382547" w:rsidRDefault="00544DCF" w:rsidP="00544DCF">
      <w:pPr>
        <w:tabs>
          <w:tab w:val="center" w:pos="4680"/>
        </w:tabs>
        <w:spacing w:after="0"/>
        <w:jc w:val="center"/>
        <w:rPr>
          <w:rFonts w:cs="Times New Roman"/>
          <w:sz w:val="26"/>
          <w:szCs w:val="26"/>
        </w:rPr>
      </w:pPr>
      <w:r w:rsidRPr="00382547">
        <w:rPr>
          <w:rFonts w:eastAsia="Times New Roman" w:cs="Times New Roman"/>
          <w:sz w:val="26"/>
          <w:szCs w:val="26"/>
        </w:rPr>
        <w:t xml:space="preserve"> </w:t>
      </w:r>
    </w:p>
    <w:p w14:paraId="4F8387AB" w14:textId="24CABC6E" w:rsidR="00544DCF" w:rsidRPr="0000327E" w:rsidRDefault="00544DCF" w:rsidP="00544DCF">
      <w:pPr>
        <w:tabs>
          <w:tab w:val="center" w:pos="4680"/>
        </w:tabs>
        <w:spacing w:after="0"/>
        <w:jc w:val="center"/>
        <w:rPr>
          <w:rFonts w:cs="Times New Roman"/>
          <w:szCs w:val="24"/>
        </w:rPr>
      </w:pPr>
      <w:r w:rsidRPr="0000327E">
        <w:rPr>
          <w:rFonts w:eastAsia="Times New Roman" w:cs="Times New Roman"/>
          <w:b/>
          <w:bCs/>
          <w:szCs w:val="24"/>
          <w:u w:val="single"/>
        </w:rPr>
        <w:t xml:space="preserve">COMMITTEE REPORT OF THE </w:t>
      </w:r>
      <w:r w:rsidR="00F46BCF" w:rsidRPr="0000327E">
        <w:rPr>
          <w:rFonts w:eastAsia="Times New Roman" w:cs="Times New Roman"/>
          <w:b/>
          <w:bCs/>
          <w:szCs w:val="24"/>
          <w:u w:val="single"/>
        </w:rPr>
        <w:t>LEGISLATIVE</w:t>
      </w:r>
      <w:r w:rsidR="003416A1" w:rsidRPr="0000327E">
        <w:rPr>
          <w:rFonts w:eastAsia="Times New Roman" w:cs="Times New Roman"/>
          <w:b/>
          <w:bCs/>
          <w:szCs w:val="24"/>
          <w:u w:val="single"/>
        </w:rPr>
        <w:t xml:space="preserve"> </w:t>
      </w:r>
      <w:r w:rsidRPr="0000327E">
        <w:rPr>
          <w:rFonts w:eastAsia="Times New Roman" w:cs="Times New Roman"/>
          <w:b/>
          <w:bCs/>
          <w:szCs w:val="24"/>
          <w:u w:val="single"/>
        </w:rPr>
        <w:t>DIVISION</w:t>
      </w:r>
    </w:p>
    <w:p w14:paraId="5DC7F858" w14:textId="0BE30F29" w:rsidR="00544DCF" w:rsidRPr="0000327E" w:rsidRDefault="00544DCF" w:rsidP="00544DCF">
      <w:pPr>
        <w:tabs>
          <w:tab w:val="center" w:pos="4680"/>
        </w:tabs>
        <w:spacing w:after="0"/>
        <w:jc w:val="center"/>
        <w:rPr>
          <w:rFonts w:eastAsia="Times New Roman" w:cs="Times New Roman"/>
          <w:szCs w:val="24"/>
        </w:rPr>
      </w:pPr>
      <w:r w:rsidRPr="0000327E">
        <w:rPr>
          <w:rFonts w:eastAsia="Times New Roman" w:cs="Times New Roman"/>
          <w:szCs w:val="24"/>
        </w:rPr>
        <w:t xml:space="preserve">Andrea Vazquez, </w:t>
      </w:r>
      <w:r w:rsidRPr="0000327E">
        <w:rPr>
          <w:rFonts w:eastAsia="Times New Roman" w:cs="Times New Roman"/>
          <w:i/>
          <w:szCs w:val="24"/>
        </w:rPr>
        <w:t>Director</w:t>
      </w:r>
    </w:p>
    <w:p w14:paraId="575C91FC" w14:textId="424F47B3" w:rsidR="00544DCF" w:rsidRPr="0000327E" w:rsidRDefault="00544DCF" w:rsidP="00544DCF">
      <w:pPr>
        <w:tabs>
          <w:tab w:val="center" w:pos="4680"/>
        </w:tabs>
        <w:spacing w:after="0"/>
        <w:jc w:val="center"/>
        <w:rPr>
          <w:rFonts w:cs="Times New Roman"/>
          <w:szCs w:val="24"/>
        </w:rPr>
      </w:pPr>
      <w:r w:rsidRPr="0000327E">
        <w:rPr>
          <w:rFonts w:eastAsia="Times New Roman" w:cs="Times New Roman"/>
          <w:szCs w:val="24"/>
        </w:rPr>
        <w:t xml:space="preserve">Smita Deshmukh, </w:t>
      </w:r>
      <w:r w:rsidRPr="0000327E">
        <w:rPr>
          <w:rFonts w:eastAsia="Times New Roman" w:cs="Times New Roman"/>
          <w:i/>
          <w:iCs/>
          <w:szCs w:val="24"/>
        </w:rPr>
        <w:t xml:space="preserve">Deputy Director, Human </w:t>
      </w:r>
      <w:r w:rsidR="0012301F">
        <w:rPr>
          <w:rFonts w:eastAsia="Times New Roman" w:cs="Times New Roman"/>
          <w:i/>
          <w:iCs/>
          <w:szCs w:val="24"/>
        </w:rPr>
        <w:t xml:space="preserve">and Social </w:t>
      </w:r>
      <w:r w:rsidRPr="0000327E">
        <w:rPr>
          <w:rFonts w:eastAsia="Times New Roman" w:cs="Times New Roman"/>
          <w:i/>
          <w:iCs/>
          <w:szCs w:val="24"/>
        </w:rPr>
        <w:t>Services</w:t>
      </w:r>
    </w:p>
    <w:p w14:paraId="0A37501D" w14:textId="619620CD" w:rsidR="00544DCF" w:rsidRPr="0000327E" w:rsidRDefault="00544DCF" w:rsidP="004B6D63">
      <w:pPr>
        <w:tabs>
          <w:tab w:val="center" w:pos="4680"/>
        </w:tabs>
        <w:spacing w:after="0"/>
        <w:jc w:val="center"/>
        <w:rPr>
          <w:rFonts w:cs="Times New Roman"/>
          <w:szCs w:val="24"/>
        </w:rPr>
      </w:pPr>
      <w:r w:rsidRPr="0000327E">
        <w:rPr>
          <w:rFonts w:eastAsia="Times New Roman" w:cs="Times New Roman"/>
          <w:i/>
          <w:iCs/>
          <w:szCs w:val="24"/>
        </w:rPr>
        <w:t xml:space="preserve"> </w:t>
      </w:r>
    </w:p>
    <w:p w14:paraId="3F741270" w14:textId="77777777" w:rsidR="00544DCF" w:rsidRPr="0000327E" w:rsidRDefault="00544DCF" w:rsidP="00544DCF">
      <w:pPr>
        <w:spacing w:after="0"/>
        <w:jc w:val="center"/>
        <w:rPr>
          <w:rFonts w:cs="Times New Roman"/>
          <w:szCs w:val="24"/>
        </w:rPr>
      </w:pPr>
      <w:r w:rsidRPr="0000327E">
        <w:rPr>
          <w:rFonts w:eastAsia="Times New Roman" w:cs="Times New Roman"/>
          <w:b/>
          <w:bCs/>
          <w:szCs w:val="24"/>
          <w:u w:val="single"/>
        </w:rPr>
        <w:t>COMMITTEE ON HEALTH</w:t>
      </w:r>
    </w:p>
    <w:p w14:paraId="7DB9143C" w14:textId="722B1115" w:rsidR="00544DCF" w:rsidRPr="0000327E" w:rsidRDefault="00544DCF" w:rsidP="00544DCF">
      <w:pPr>
        <w:spacing w:after="0"/>
        <w:jc w:val="center"/>
        <w:rPr>
          <w:rFonts w:cs="Times New Roman"/>
          <w:szCs w:val="24"/>
        </w:rPr>
      </w:pPr>
      <w:r w:rsidRPr="0000327E">
        <w:rPr>
          <w:rFonts w:eastAsia="Times New Roman" w:cs="Times New Roman"/>
          <w:szCs w:val="24"/>
        </w:rPr>
        <w:t xml:space="preserve">Hon. </w:t>
      </w:r>
      <w:r w:rsidR="008C3AB7" w:rsidRPr="0000327E">
        <w:rPr>
          <w:rFonts w:eastAsia="Times New Roman" w:cs="Times New Roman"/>
          <w:szCs w:val="24"/>
        </w:rPr>
        <w:t>Lynn Schulman</w:t>
      </w:r>
      <w:r w:rsidRPr="0000327E">
        <w:rPr>
          <w:rFonts w:eastAsia="Times New Roman" w:cs="Times New Roman"/>
          <w:szCs w:val="24"/>
        </w:rPr>
        <w:t>,</w:t>
      </w:r>
      <w:r w:rsidRPr="0000327E">
        <w:rPr>
          <w:rFonts w:eastAsia="Times New Roman" w:cs="Times New Roman"/>
          <w:i/>
          <w:iCs/>
          <w:szCs w:val="24"/>
        </w:rPr>
        <w:t xml:space="preserve"> Chair</w:t>
      </w:r>
    </w:p>
    <w:p w14:paraId="5DAB6C7B" w14:textId="77777777" w:rsidR="00544DCF" w:rsidRPr="0000327E" w:rsidRDefault="00544DCF" w:rsidP="00544DCF">
      <w:pPr>
        <w:spacing w:after="0"/>
        <w:jc w:val="both"/>
        <w:rPr>
          <w:rFonts w:cs="Times New Roman"/>
          <w:szCs w:val="24"/>
        </w:rPr>
      </w:pPr>
    </w:p>
    <w:p w14:paraId="2C9B8124" w14:textId="1E2DF62D" w:rsidR="00544DCF" w:rsidRPr="0000327E" w:rsidRDefault="00172A29" w:rsidP="3A06739B">
      <w:pPr>
        <w:spacing w:after="0"/>
        <w:jc w:val="center"/>
        <w:rPr>
          <w:rFonts w:eastAsia="Times New Roman" w:cs="Times New Roman"/>
          <w:b/>
          <w:bCs/>
          <w:szCs w:val="24"/>
        </w:rPr>
      </w:pPr>
      <w:r>
        <w:rPr>
          <w:rFonts w:eastAsia="Times New Roman" w:cs="Times New Roman"/>
          <w:b/>
          <w:bCs/>
          <w:szCs w:val="24"/>
        </w:rPr>
        <w:t>July 15</w:t>
      </w:r>
      <w:r w:rsidR="00B67E73">
        <w:rPr>
          <w:rFonts w:eastAsia="Times New Roman" w:cs="Times New Roman"/>
          <w:b/>
          <w:bCs/>
          <w:szCs w:val="24"/>
        </w:rPr>
        <w:t>, 2026</w:t>
      </w:r>
    </w:p>
    <w:p w14:paraId="33A9765C" w14:textId="77777777" w:rsidR="00382547" w:rsidRPr="0000327E" w:rsidRDefault="00382547" w:rsidP="3A06739B">
      <w:pPr>
        <w:spacing w:after="0"/>
        <w:jc w:val="center"/>
        <w:rPr>
          <w:rFonts w:cs="Times New Roman"/>
          <w:b/>
          <w:smallCaps/>
          <w:szCs w:val="24"/>
        </w:rPr>
      </w:pPr>
    </w:p>
    <w:p w14:paraId="45381F23" w14:textId="77777777" w:rsidR="00AA2E66" w:rsidRDefault="00AA2E66" w:rsidP="00AA2E66">
      <w:pPr>
        <w:spacing w:after="0"/>
        <w:jc w:val="center"/>
        <w:rPr>
          <w:rFonts w:cs="Times New Roman"/>
          <w:szCs w:val="24"/>
        </w:rPr>
      </w:pPr>
      <w:r w:rsidRPr="00F4178A">
        <w:rPr>
          <w:rFonts w:eastAsia="Times New Roman" w:cs="Times New Roman"/>
          <w:b/>
          <w:bCs/>
          <w:smallCaps/>
          <w:szCs w:val="24"/>
        </w:rPr>
        <w:t>Legislation:</w:t>
      </w:r>
    </w:p>
    <w:p w14:paraId="150F5351" w14:textId="77777777" w:rsidR="00AA2E66" w:rsidRPr="00F46BCF" w:rsidRDefault="00AA2E66" w:rsidP="00AA2E66">
      <w:pPr>
        <w:spacing w:after="0"/>
        <w:jc w:val="center"/>
        <w:rPr>
          <w:rFonts w:cs="Times New Roman"/>
          <w:szCs w:val="24"/>
        </w:rPr>
      </w:pPr>
    </w:p>
    <w:tbl>
      <w:tblPr>
        <w:tblStyle w:val="TableGridLight"/>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0"/>
        <w:gridCol w:w="6244"/>
      </w:tblGrid>
      <w:tr w:rsidR="00AA2E66" w:rsidRPr="00F46BCF" w14:paraId="2F57A50A" w14:textId="77777777" w:rsidTr="00CB4E1E">
        <w:trPr>
          <w:trHeight w:val="1069"/>
        </w:trPr>
        <w:tc>
          <w:tcPr>
            <w:tcW w:w="3220" w:type="dxa"/>
          </w:tcPr>
          <w:p w14:paraId="07FBF67D" w14:textId="7D1581CE" w:rsidR="00AA2E66" w:rsidRPr="00ED12AD" w:rsidRDefault="00AA2E66" w:rsidP="00AA2E66">
            <w:pPr>
              <w:jc w:val="both"/>
              <w:rPr>
                <w:b/>
                <w:bCs/>
                <w:smallCaps/>
                <w:color w:val="000000" w:themeColor="text1"/>
                <w:szCs w:val="24"/>
              </w:rPr>
            </w:pPr>
            <w:r w:rsidRPr="00F46BCF">
              <w:rPr>
                <w:b/>
                <w:bCs/>
                <w:smallCaps/>
                <w:color w:val="000000" w:themeColor="text1"/>
                <w:szCs w:val="24"/>
              </w:rPr>
              <w:t>Int. No.</w:t>
            </w:r>
            <w:r w:rsidR="00C666D2">
              <w:rPr>
                <w:b/>
                <w:bCs/>
                <w:smallCaps/>
                <w:color w:val="000000" w:themeColor="text1"/>
                <w:szCs w:val="24"/>
              </w:rPr>
              <w:t xml:space="preserve"> 943-2026</w:t>
            </w:r>
          </w:p>
        </w:tc>
        <w:tc>
          <w:tcPr>
            <w:tcW w:w="6244" w:type="dxa"/>
          </w:tcPr>
          <w:p w14:paraId="682BC564" w14:textId="794DA47D" w:rsidR="00AA2E66" w:rsidRPr="00933352" w:rsidRDefault="00AA2E66" w:rsidP="00CB4E1E">
            <w:pPr>
              <w:shd w:val="clear" w:color="auto" w:fill="FFFFFF" w:themeFill="background1"/>
              <w:jc w:val="both"/>
              <w:rPr>
                <w:i/>
                <w:color w:val="000000"/>
                <w:shd w:val="clear" w:color="auto" w:fill="FFFFFF"/>
              </w:rPr>
            </w:pPr>
            <w:r w:rsidRPr="00933352">
              <w:rPr>
                <w:color w:val="000000"/>
                <w:shd w:val="clear" w:color="auto" w:fill="FFFFFF"/>
              </w:rPr>
              <w:t xml:space="preserve">By Council Members </w:t>
            </w:r>
            <w:r w:rsidR="00C666D2" w:rsidRPr="00933352">
              <w:rPr>
                <w:color w:val="000000"/>
                <w:shd w:val="clear" w:color="auto" w:fill="FFFFFF"/>
              </w:rPr>
              <w:t>Marte, Ariola, Hanif, Wilson, Brewer, Cabán, Epstein, Nurse, Wong, Won, Morano, Guti</w:t>
            </w:r>
            <w:r w:rsidR="008809F1" w:rsidRPr="00933352">
              <w:rPr>
                <w:color w:val="000000"/>
                <w:shd w:val="clear" w:color="auto" w:fill="FFFFFF"/>
              </w:rPr>
              <w:t>érrez, Restler, Krishnan</w:t>
            </w:r>
            <w:r w:rsidR="00936EFD">
              <w:rPr>
                <w:color w:val="000000"/>
                <w:shd w:val="clear" w:color="auto" w:fill="FFFFFF"/>
              </w:rPr>
              <w:t>,</w:t>
            </w:r>
            <w:r w:rsidR="00933352">
              <w:rPr>
                <w:color w:val="000000"/>
                <w:shd w:val="clear" w:color="auto" w:fill="FFFFFF"/>
              </w:rPr>
              <w:t xml:space="preserve"> Abreu</w:t>
            </w:r>
            <w:r w:rsidR="00936EFD">
              <w:rPr>
                <w:color w:val="000000"/>
                <w:shd w:val="clear" w:color="auto" w:fill="FFFFFF"/>
              </w:rPr>
              <w:t>, Banks</w:t>
            </w:r>
            <w:r w:rsidR="00CF23B6">
              <w:rPr>
                <w:color w:val="000000"/>
                <w:shd w:val="clear" w:color="auto" w:fill="FFFFFF"/>
              </w:rPr>
              <w:t xml:space="preserve">, </w:t>
            </w:r>
            <w:r w:rsidR="00936EFD">
              <w:rPr>
                <w:color w:val="000000"/>
                <w:shd w:val="clear" w:color="auto" w:fill="FFFFFF"/>
              </w:rPr>
              <w:t>Ossé</w:t>
            </w:r>
            <w:r w:rsidR="00CF23B6">
              <w:rPr>
                <w:color w:val="000000"/>
                <w:shd w:val="clear" w:color="auto" w:fill="FFFFFF"/>
              </w:rPr>
              <w:t>, Schulman, Hanks, Feliz</w:t>
            </w:r>
            <w:r w:rsidR="00936EFD">
              <w:rPr>
                <w:color w:val="000000"/>
                <w:shd w:val="clear" w:color="auto" w:fill="FFFFFF"/>
              </w:rPr>
              <w:t xml:space="preserve"> and </w:t>
            </w:r>
            <w:r w:rsidR="00CF23B6">
              <w:rPr>
                <w:color w:val="000000"/>
                <w:shd w:val="clear" w:color="auto" w:fill="FFFFFF"/>
              </w:rPr>
              <w:t>Vernikov</w:t>
            </w:r>
            <w:r w:rsidR="00D319A4" w:rsidRPr="00933352">
              <w:rPr>
                <w:color w:val="000000"/>
                <w:shd w:val="clear" w:color="auto" w:fill="FFFFFF"/>
              </w:rPr>
              <w:t xml:space="preserve"> (in conjunction with the Manhattan Borough President)</w:t>
            </w:r>
          </w:p>
          <w:p w14:paraId="72407F11" w14:textId="77777777" w:rsidR="00AA2E66" w:rsidRPr="00D319A4" w:rsidRDefault="00AA2E66" w:rsidP="00CB4E1E">
            <w:pPr>
              <w:shd w:val="clear" w:color="auto" w:fill="FFFFFF" w:themeFill="background1"/>
              <w:jc w:val="both"/>
              <w:rPr>
                <w:color w:val="000000" w:themeColor="text1"/>
                <w:szCs w:val="24"/>
                <w:highlight w:val="yellow"/>
              </w:rPr>
            </w:pPr>
          </w:p>
        </w:tc>
      </w:tr>
      <w:tr w:rsidR="00AA2E66" w:rsidRPr="00F46BCF" w14:paraId="33B2BB2C" w14:textId="77777777" w:rsidTr="00CB4E1E">
        <w:trPr>
          <w:trHeight w:val="342"/>
        </w:trPr>
        <w:tc>
          <w:tcPr>
            <w:tcW w:w="3220" w:type="dxa"/>
          </w:tcPr>
          <w:p w14:paraId="50633FD5" w14:textId="77777777" w:rsidR="00AA2E66" w:rsidRPr="00F46BCF" w:rsidRDefault="00AA2E66" w:rsidP="00CB4E1E">
            <w:pPr>
              <w:jc w:val="both"/>
              <w:rPr>
                <w:b/>
                <w:bCs/>
                <w:smallCaps/>
                <w:color w:val="000000" w:themeColor="text1"/>
                <w:szCs w:val="24"/>
              </w:rPr>
            </w:pPr>
            <w:r w:rsidRPr="00F46BCF">
              <w:rPr>
                <w:b/>
                <w:bCs/>
                <w:smallCaps/>
                <w:color w:val="000000" w:themeColor="text1"/>
                <w:szCs w:val="24"/>
              </w:rPr>
              <w:t>Title:</w:t>
            </w:r>
          </w:p>
        </w:tc>
        <w:tc>
          <w:tcPr>
            <w:tcW w:w="6244" w:type="dxa"/>
          </w:tcPr>
          <w:p w14:paraId="03FD9E68" w14:textId="4970F2DD" w:rsidR="00AA2E66" w:rsidRPr="000B4ECA" w:rsidRDefault="00AA2E66" w:rsidP="00CB4E1E">
            <w:pPr>
              <w:shd w:val="clear" w:color="auto" w:fill="FFFFFF"/>
              <w:jc w:val="both"/>
              <w:rPr>
                <w:color w:val="000000"/>
                <w:sz w:val="27"/>
                <w:szCs w:val="27"/>
              </w:rPr>
            </w:pPr>
            <w:r w:rsidRPr="00AB2486">
              <w:rPr>
                <w:color w:val="000000"/>
                <w:szCs w:val="24"/>
              </w:rPr>
              <w:t xml:space="preserve">A Local Law to amend </w:t>
            </w:r>
            <w:r w:rsidR="004C3ED0">
              <w:rPr>
                <w:color w:val="000000"/>
                <w:szCs w:val="24"/>
              </w:rPr>
              <w:t>the administrative code of the City of New York, in relation to prohibiting the operation of horse drawn cabs, and to repeal sections 17-334.1, 19-174, 2</w:t>
            </w:r>
            <w:r w:rsidR="004F5D5B">
              <w:rPr>
                <w:color w:val="000000"/>
                <w:szCs w:val="24"/>
              </w:rPr>
              <w:t>0-377, 2</w:t>
            </w:r>
            <w:r w:rsidR="004C3ED0">
              <w:rPr>
                <w:color w:val="000000"/>
                <w:szCs w:val="24"/>
              </w:rPr>
              <w:t xml:space="preserve">0-377.1, 20-380, 20-381, 20-381.1, 20-381.2, 20-382 and subdivisions b, c, and d of section 20-383 of the </w:t>
            </w:r>
            <w:r w:rsidR="00A1366F">
              <w:rPr>
                <w:color w:val="000000"/>
                <w:szCs w:val="24"/>
              </w:rPr>
              <w:t xml:space="preserve">administrative code of the City of New York, relating to carriage horses and </w:t>
            </w:r>
            <w:r w:rsidR="00A1366F">
              <w:rPr>
                <w:color w:val="000000"/>
                <w:szCs w:val="24"/>
              </w:rPr>
              <w:lastRenderedPageBreak/>
              <w:t xml:space="preserve">horse drawn cabs, and to repeal sections thirteen, nineteen, and twenty-one of this local </w:t>
            </w:r>
            <w:r w:rsidR="008818FA">
              <w:rPr>
                <w:color w:val="000000"/>
                <w:szCs w:val="24"/>
              </w:rPr>
              <w:t>law upon the expiration thereof</w:t>
            </w:r>
          </w:p>
        </w:tc>
      </w:tr>
      <w:tr w:rsidR="00163D96" w:rsidRPr="00F46BCF" w14:paraId="6BA8A608" w14:textId="77777777" w:rsidTr="00CA298C">
        <w:trPr>
          <w:trHeight w:val="53"/>
        </w:trPr>
        <w:tc>
          <w:tcPr>
            <w:tcW w:w="3220" w:type="dxa"/>
          </w:tcPr>
          <w:p w14:paraId="787C4DEA" w14:textId="77777777" w:rsidR="00163D96" w:rsidRPr="00F46BCF" w:rsidRDefault="00163D96" w:rsidP="00CB4E1E">
            <w:pPr>
              <w:jc w:val="both"/>
              <w:rPr>
                <w:b/>
                <w:bCs/>
                <w:smallCaps/>
                <w:color w:val="000000" w:themeColor="text1"/>
                <w:szCs w:val="24"/>
              </w:rPr>
            </w:pPr>
          </w:p>
        </w:tc>
        <w:tc>
          <w:tcPr>
            <w:tcW w:w="6244" w:type="dxa"/>
          </w:tcPr>
          <w:p w14:paraId="53C5F083" w14:textId="77777777" w:rsidR="00163D96" w:rsidRPr="00AB2486" w:rsidRDefault="00163D96" w:rsidP="00CB4E1E">
            <w:pPr>
              <w:shd w:val="clear" w:color="auto" w:fill="FFFFFF"/>
              <w:jc w:val="both"/>
              <w:rPr>
                <w:color w:val="000000"/>
                <w:szCs w:val="24"/>
              </w:rPr>
            </w:pPr>
          </w:p>
        </w:tc>
      </w:tr>
    </w:tbl>
    <w:p w14:paraId="2C8B4F07" w14:textId="589AB8F9" w:rsidR="00544DCF" w:rsidRPr="004748FE" w:rsidRDefault="43DDD9BB" w:rsidP="00163D96">
      <w:pPr>
        <w:pStyle w:val="ListParagraph"/>
        <w:numPr>
          <w:ilvl w:val="0"/>
          <w:numId w:val="3"/>
        </w:numPr>
        <w:spacing w:after="0" w:line="480" w:lineRule="auto"/>
        <w:rPr>
          <w:rFonts w:eastAsia="Times New Roman" w:cs="Times New Roman"/>
          <w:b/>
          <w:bCs/>
          <w:szCs w:val="24"/>
        </w:rPr>
      </w:pPr>
      <w:r w:rsidRPr="004748FE">
        <w:rPr>
          <w:rFonts w:eastAsia="Times New Roman" w:cs="Times New Roman"/>
          <w:b/>
          <w:bCs/>
          <w:szCs w:val="24"/>
        </w:rPr>
        <w:t>INTRODUCTION</w:t>
      </w:r>
    </w:p>
    <w:p w14:paraId="6E6460FB" w14:textId="2D3481A7" w:rsidR="00544DCF" w:rsidRDefault="00520662" w:rsidP="001C23AD">
      <w:pPr>
        <w:spacing w:after="0" w:line="480" w:lineRule="auto"/>
        <w:ind w:firstLine="720"/>
        <w:contextualSpacing/>
        <w:rPr>
          <w:rFonts w:eastAsia="Times New Roman" w:cs="Times New Roman"/>
          <w:szCs w:val="24"/>
        </w:rPr>
      </w:pPr>
      <w:r>
        <w:rPr>
          <w:rFonts w:eastAsia="Times New Roman" w:cs="Times New Roman"/>
          <w:szCs w:val="24"/>
        </w:rPr>
        <w:t xml:space="preserve">On </w:t>
      </w:r>
      <w:r w:rsidR="00B81E24">
        <w:rPr>
          <w:rFonts w:eastAsia="Times New Roman" w:cs="Times New Roman"/>
          <w:szCs w:val="24"/>
        </w:rPr>
        <w:t>July 15, 2026</w:t>
      </w:r>
      <w:r w:rsidR="0088052B">
        <w:rPr>
          <w:rFonts w:eastAsia="Times New Roman" w:cs="Times New Roman"/>
          <w:szCs w:val="24"/>
        </w:rPr>
        <w:t>,</w:t>
      </w:r>
      <w:r>
        <w:rPr>
          <w:rFonts w:eastAsia="Times New Roman" w:cs="Times New Roman"/>
          <w:szCs w:val="24"/>
        </w:rPr>
        <w:t xml:space="preserve"> the Committee on Health, chaired by Council Member Lynn Schulman</w:t>
      </w:r>
      <w:r w:rsidR="0088052B">
        <w:rPr>
          <w:rFonts w:eastAsia="Times New Roman" w:cs="Times New Roman"/>
          <w:szCs w:val="24"/>
        </w:rPr>
        <w:t xml:space="preserve">, </w:t>
      </w:r>
      <w:r w:rsidR="0031072C">
        <w:rPr>
          <w:rFonts w:eastAsia="Times New Roman" w:cs="Times New Roman"/>
          <w:szCs w:val="24"/>
        </w:rPr>
        <w:t xml:space="preserve">will </w:t>
      </w:r>
      <w:r w:rsidR="00A74A76">
        <w:rPr>
          <w:rFonts w:eastAsia="Times New Roman" w:cs="Times New Roman"/>
          <w:szCs w:val="24"/>
        </w:rPr>
        <w:t xml:space="preserve">consider </w:t>
      </w:r>
      <w:r w:rsidR="00C22567">
        <w:rPr>
          <w:rFonts w:eastAsia="Times New Roman" w:cs="Times New Roman"/>
          <w:szCs w:val="24"/>
        </w:rPr>
        <w:t>the following legislation:</w:t>
      </w:r>
    </w:p>
    <w:p w14:paraId="5321C107" w14:textId="148CA316" w:rsidR="00C22567" w:rsidRDefault="00C22567" w:rsidP="00AA2E66">
      <w:pPr>
        <w:pStyle w:val="ListParagraph"/>
        <w:numPr>
          <w:ilvl w:val="0"/>
          <w:numId w:val="13"/>
        </w:numPr>
        <w:spacing w:after="0" w:line="480" w:lineRule="auto"/>
        <w:rPr>
          <w:rFonts w:eastAsia="Times New Roman" w:cs="Times New Roman"/>
          <w:szCs w:val="24"/>
        </w:rPr>
      </w:pPr>
      <w:r w:rsidRPr="00C22567">
        <w:rPr>
          <w:rFonts w:eastAsia="Times New Roman" w:cs="Times New Roman"/>
          <w:szCs w:val="24"/>
        </w:rPr>
        <w:t>Introduction Number</w:t>
      </w:r>
      <w:r w:rsidR="002E5340">
        <w:rPr>
          <w:rFonts w:eastAsia="Times New Roman" w:cs="Times New Roman"/>
          <w:szCs w:val="24"/>
        </w:rPr>
        <w:t xml:space="preserve"> (“Int. No.”)</w:t>
      </w:r>
      <w:r w:rsidR="00011907">
        <w:rPr>
          <w:rFonts w:eastAsia="Times New Roman" w:cs="Times New Roman"/>
          <w:szCs w:val="24"/>
        </w:rPr>
        <w:t xml:space="preserve"> </w:t>
      </w:r>
      <w:r w:rsidR="001074B6">
        <w:rPr>
          <w:rFonts w:eastAsia="Times New Roman" w:cs="Times New Roman"/>
          <w:szCs w:val="24"/>
        </w:rPr>
        <w:t>943</w:t>
      </w:r>
      <w:r w:rsidR="002E5340">
        <w:rPr>
          <w:rFonts w:eastAsia="Times New Roman" w:cs="Times New Roman"/>
          <w:szCs w:val="24"/>
        </w:rPr>
        <w:t xml:space="preserve">, </w:t>
      </w:r>
      <w:r w:rsidRPr="00C22567">
        <w:rPr>
          <w:rFonts w:eastAsia="Times New Roman" w:cs="Times New Roman"/>
          <w:szCs w:val="24"/>
        </w:rPr>
        <w:t xml:space="preserve">sponsored by Council Member </w:t>
      </w:r>
      <w:r w:rsidR="001074B6">
        <w:rPr>
          <w:rFonts w:eastAsia="Times New Roman" w:cs="Times New Roman"/>
          <w:szCs w:val="24"/>
        </w:rPr>
        <w:t>Christopher Marte</w:t>
      </w:r>
      <w:r w:rsidRPr="00C22567">
        <w:rPr>
          <w:rFonts w:eastAsia="Times New Roman" w:cs="Times New Roman"/>
          <w:szCs w:val="24"/>
        </w:rPr>
        <w:t xml:space="preserve">, </w:t>
      </w:r>
      <w:r w:rsidR="00011907">
        <w:rPr>
          <w:rFonts w:eastAsia="Times New Roman" w:cs="Times New Roman"/>
          <w:szCs w:val="24"/>
        </w:rPr>
        <w:t xml:space="preserve">in relation to </w:t>
      </w:r>
      <w:r w:rsidR="001074B6">
        <w:rPr>
          <w:rFonts w:eastAsia="Times New Roman" w:cs="Times New Roman"/>
          <w:szCs w:val="24"/>
        </w:rPr>
        <w:t xml:space="preserve">prohibiting the </w:t>
      </w:r>
      <w:r w:rsidR="00447BF9">
        <w:rPr>
          <w:rFonts w:eastAsia="Times New Roman" w:cs="Times New Roman"/>
          <w:szCs w:val="24"/>
        </w:rPr>
        <w:t>operation</w:t>
      </w:r>
      <w:r w:rsidR="001074B6">
        <w:rPr>
          <w:rFonts w:eastAsia="Times New Roman" w:cs="Times New Roman"/>
          <w:szCs w:val="24"/>
        </w:rPr>
        <w:t xml:space="preserve"> of horse dra</w:t>
      </w:r>
      <w:r w:rsidR="00447BF9">
        <w:rPr>
          <w:rFonts w:eastAsia="Times New Roman" w:cs="Times New Roman"/>
          <w:szCs w:val="24"/>
        </w:rPr>
        <w:t>w</w:t>
      </w:r>
      <w:r w:rsidR="001074B6">
        <w:rPr>
          <w:rFonts w:eastAsia="Times New Roman" w:cs="Times New Roman"/>
          <w:szCs w:val="24"/>
        </w:rPr>
        <w:t>n cabs</w:t>
      </w:r>
      <w:r w:rsidR="00A377F7">
        <w:rPr>
          <w:rFonts w:eastAsia="Times New Roman" w:cs="Times New Roman"/>
          <w:szCs w:val="24"/>
        </w:rPr>
        <w:t xml:space="preserve">, </w:t>
      </w:r>
      <w:r w:rsidR="00A377F7">
        <w:rPr>
          <w:color w:val="000000"/>
          <w:szCs w:val="24"/>
        </w:rPr>
        <w:t xml:space="preserve">and to repeal sections 17-334.1, 19-174, 20-377, 20-377.1, 20-380, 20-381, 20-381.1, 20-381.2, 20-382 and subdivisions b, c, and d of section 20-383 of the </w:t>
      </w:r>
      <w:r w:rsidR="00933352">
        <w:rPr>
          <w:color w:val="000000"/>
          <w:szCs w:val="24"/>
        </w:rPr>
        <w:t>A</w:t>
      </w:r>
      <w:r w:rsidR="00A377F7">
        <w:rPr>
          <w:color w:val="000000"/>
          <w:szCs w:val="24"/>
        </w:rPr>
        <w:t xml:space="preserve">dministrative </w:t>
      </w:r>
      <w:r w:rsidR="00933352">
        <w:rPr>
          <w:color w:val="000000"/>
          <w:szCs w:val="24"/>
        </w:rPr>
        <w:t>C</w:t>
      </w:r>
      <w:r w:rsidR="00A377F7">
        <w:rPr>
          <w:color w:val="000000"/>
          <w:szCs w:val="24"/>
        </w:rPr>
        <w:t>ode of the City of New York, relating to carriage horses and horse drawn cabs, and to repeal sections thirteen, nineteen, and twenty-one of this local law upon the expiration thereof</w:t>
      </w:r>
      <w:r w:rsidR="00B0784E">
        <w:rPr>
          <w:rFonts w:eastAsia="Times New Roman" w:cs="Times New Roman"/>
          <w:szCs w:val="24"/>
        </w:rPr>
        <w:t>.</w:t>
      </w:r>
    </w:p>
    <w:p w14:paraId="4E476C6F" w14:textId="462FD1E0" w:rsidR="00A236EC" w:rsidRDefault="00342CA1" w:rsidP="001C23AD">
      <w:pPr>
        <w:spacing w:after="0" w:line="480" w:lineRule="auto"/>
        <w:ind w:firstLine="720"/>
        <w:rPr>
          <w:rFonts w:eastAsia="Times New Roman" w:cs="Times New Roman"/>
          <w:szCs w:val="24"/>
        </w:rPr>
      </w:pPr>
      <w:r>
        <w:rPr>
          <w:rFonts w:eastAsia="Times New Roman" w:cs="Times New Roman"/>
          <w:szCs w:val="24"/>
        </w:rPr>
        <w:t>Witnesses invited to testify include representatives from the New York City (“NYC”) Department of Health and Mental Hygiene (</w:t>
      </w:r>
      <w:r w:rsidR="00555864">
        <w:rPr>
          <w:rFonts w:eastAsia="Times New Roman" w:cs="Times New Roman"/>
          <w:szCs w:val="24"/>
        </w:rPr>
        <w:t>“</w:t>
      </w:r>
      <w:r>
        <w:rPr>
          <w:rFonts w:eastAsia="Times New Roman" w:cs="Times New Roman"/>
          <w:szCs w:val="24"/>
        </w:rPr>
        <w:t>DOHMH</w:t>
      </w:r>
      <w:r w:rsidR="00555864">
        <w:rPr>
          <w:rFonts w:eastAsia="Times New Roman" w:cs="Times New Roman"/>
          <w:szCs w:val="24"/>
        </w:rPr>
        <w:t>”</w:t>
      </w:r>
      <w:r>
        <w:rPr>
          <w:rFonts w:eastAsia="Times New Roman" w:cs="Times New Roman"/>
          <w:szCs w:val="24"/>
        </w:rPr>
        <w:t xml:space="preserve">), </w:t>
      </w:r>
      <w:r w:rsidR="00CF2317">
        <w:rPr>
          <w:rFonts w:eastAsia="Times New Roman" w:cs="Times New Roman"/>
          <w:szCs w:val="24"/>
        </w:rPr>
        <w:t>NYC Department of Consumer and Worker Protection</w:t>
      </w:r>
      <w:r w:rsidR="00C009D2">
        <w:rPr>
          <w:rFonts w:eastAsia="Times New Roman" w:cs="Times New Roman"/>
          <w:szCs w:val="24"/>
        </w:rPr>
        <w:t xml:space="preserve"> (“DCWP”), NYC </w:t>
      </w:r>
      <w:r w:rsidR="0018675C">
        <w:rPr>
          <w:rFonts w:eastAsia="Times New Roman" w:cs="Times New Roman"/>
          <w:szCs w:val="24"/>
        </w:rPr>
        <w:t>Department of Parks and Recreation</w:t>
      </w:r>
      <w:r w:rsidR="004E4E5E">
        <w:rPr>
          <w:rFonts w:eastAsia="Times New Roman" w:cs="Times New Roman"/>
          <w:szCs w:val="24"/>
        </w:rPr>
        <w:t xml:space="preserve"> (“</w:t>
      </w:r>
      <w:r w:rsidR="00933352">
        <w:rPr>
          <w:rFonts w:eastAsia="Times New Roman" w:cs="Times New Roman"/>
          <w:szCs w:val="24"/>
        </w:rPr>
        <w:t>NYC Parks</w:t>
      </w:r>
      <w:r w:rsidR="004E4E5E">
        <w:rPr>
          <w:rFonts w:eastAsia="Times New Roman" w:cs="Times New Roman"/>
          <w:szCs w:val="24"/>
        </w:rPr>
        <w:t>”)</w:t>
      </w:r>
      <w:r w:rsidR="0018675C">
        <w:rPr>
          <w:rFonts w:eastAsia="Times New Roman" w:cs="Times New Roman"/>
          <w:szCs w:val="24"/>
        </w:rPr>
        <w:t xml:space="preserve">, </w:t>
      </w:r>
      <w:r w:rsidR="00FE3DEB">
        <w:rPr>
          <w:rFonts w:eastAsia="Times New Roman" w:cs="Times New Roman"/>
          <w:szCs w:val="24"/>
        </w:rPr>
        <w:t xml:space="preserve">Mayor’s Office of Animal Welfare, </w:t>
      </w:r>
      <w:r w:rsidR="00C009D2">
        <w:rPr>
          <w:rFonts w:eastAsia="Times New Roman" w:cs="Times New Roman"/>
          <w:szCs w:val="24"/>
        </w:rPr>
        <w:t>c</w:t>
      </w:r>
      <w:r w:rsidR="00FC62FF">
        <w:rPr>
          <w:rFonts w:eastAsia="Times New Roman" w:cs="Times New Roman"/>
          <w:szCs w:val="24"/>
        </w:rPr>
        <w:t xml:space="preserve">ommunity organizations, advocates, and </w:t>
      </w:r>
      <w:r w:rsidR="00D27E75">
        <w:rPr>
          <w:rFonts w:eastAsia="Times New Roman" w:cs="Times New Roman"/>
          <w:szCs w:val="24"/>
        </w:rPr>
        <w:t>other interested stakeholders.</w:t>
      </w:r>
    </w:p>
    <w:p w14:paraId="27F524DA" w14:textId="6B89D2DC" w:rsidR="00EC58EE" w:rsidRPr="00933352" w:rsidRDefault="00447BF9" w:rsidP="00E20FA4">
      <w:pPr>
        <w:pStyle w:val="ListParagraph"/>
        <w:numPr>
          <w:ilvl w:val="0"/>
          <w:numId w:val="3"/>
        </w:numPr>
        <w:spacing w:after="0" w:line="480" w:lineRule="auto"/>
        <w:jc w:val="both"/>
        <w:rPr>
          <w:rFonts w:cs="Times New Roman"/>
          <w:b/>
          <w:szCs w:val="24"/>
        </w:rPr>
      </w:pPr>
      <w:r>
        <w:rPr>
          <w:rFonts w:cs="Times New Roman"/>
          <w:b/>
          <w:bCs/>
          <w:szCs w:val="24"/>
        </w:rPr>
        <w:t>BACKGROUND</w:t>
      </w:r>
    </w:p>
    <w:p w14:paraId="0466928A" w14:textId="041EF67F" w:rsidR="00AD327E" w:rsidRDefault="00933352" w:rsidP="00AD327E">
      <w:pPr>
        <w:pStyle w:val="ListParagraph"/>
        <w:numPr>
          <w:ilvl w:val="2"/>
          <w:numId w:val="3"/>
        </w:numPr>
        <w:spacing w:after="0" w:line="480" w:lineRule="auto"/>
        <w:jc w:val="both"/>
        <w:rPr>
          <w:rFonts w:cs="Times New Roman"/>
          <w:b/>
          <w:szCs w:val="24"/>
        </w:rPr>
      </w:pPr>
      <w:r>
        <w:rPr>
          <w:rFonts w:cs="Times New Roman"/>
          <w:b/>
          <w:szCs w:val="24"/>
        </w:rPr>
        <w:t>Horse Carriage Industry in NYC</w:t>
      </w:r>
    </w:p>
    <w:p w14:paraId="254DD166" w14:textId="40E4E75D" w:rsidR="004052B6" w:rsidRPr="004D7935" w:rsidRDefault="004052B6" w:rsidP="004748FE">
      <w:pPr>
        <w:spacing w:after="0" w:line="480" w:lineRule="auto"/>
        <w:rPr>
          <w:rFonts w:cs="Times New Roman"/>
        </w:rPr>
      </w:pPr>
      <w:r w:rsidRPr="004D7935">
        <w:rPr>
          <w:rFonts w:cs="Times New Roman"/>
        </w:rPr>
        <w:tab/>
      </w:r>
      <w:r w:rsidR="004748FE">
        <w:rPr>
          <w:rFonts w:cs="Times New Roman"/>
        </w:rPr>
        <w:t>Since the mid-to-late 1800s, horse-carriage rides have been a popular tourist attraction in NYC, with horse carriages operating in Central Park in some form since</w:t>
      </w:r>
      <w:r w:rsidR="00626569">
        <w:rPr>
          <w:rFonts w:cs="Times New Roman"/>
        </w:rPr>
        <w:t xml:space="preserve"> opening to the public in</w:t>
      </w:r>
      <w:r w:rsidR="004748FE">
        <w:rPr>
          <w:rFonts w:cs="Times New Roman"/>
        </w:rPr>
        <w:t xml:space="preserve"> 1858.</w:t>
      </w:r>
      <w:r w:rsidR="004748FE">
        <w:rPr>
          <w:rStyle w:val="FootnoteReference"/>
          <w:rFonts w:cs="Times New Roman"/>
        </w:rPr>
        <w:footnoteReference w:id="2"/>
      </w:r>
      <w:r w:rsidR="004748FE">
        <w:rPr>
          <w:rFonts w:cs="Times New Roman"/>
        </w:rPr>
        <w:t xml:space="preserve"> </w:t>
      </w:r>
      <w:r w:rsidR="00FE3DEB">
        <w:rPr>
          <w:rFonts w:cs="Times New Roman"/>
        </w:rPr>
        <w:t xml:space="preserve">Over the decades, the use of carriages has shifted from an essential mode of transportation </w:t>
      </w:r>
      <w:r w:rsidR="00FE3DEB">
        <w:rPr>
          <w:rFonts w:cs="Times New Roman"/>
        </w:rPr>
        <w:lastRenderedPageBreak/>
        <w:t>to a smaller, tourism-focused industry operating in Central Park and in Midtown Manhattan.</w:t>
      </w:r>
      <w:r w:rsidR="00FE3DEB">
        <w:rPr>
          <w:rStyle w:val="FootnoteReference"/>
          <w:rFonts w:cs="Times New Roman"/>
        </w:rPr>
        <w:footnoteReference w:id="3"/>
      </w:r>
      <w:r w:rsidR="00FE3DEB">
        <w:rPr>
          <w:rFonts w:cs="Times New Roman"/>
        </w:rPr>
        <w:t xml:space="preserve"> Today, </w:t>
      </w:r>
      <w:r w:rsidR="00595168" w:rsidRPr="00607F47">
        <w:rPr>
          <w:rFonts w:cs="Times New Roman"/>
        </w:rPr>
        <w:t xml:space="preserve">according to internal DCWP numbers, </w:t>
      </w:r>
      <w:r w:rsidR="00FE3DEB">
        <w:rPr>
          <w:rFonts w:cs="Times New Roman"/>
        </w:rPr>
        <w:t>t</w:t>
      </w:r>
      <w:r w:rsidRPr="004D7935">
        <w:rPr>
          <w:rFonts w:cs="Times New Roman"/>
        </w:rPr>
        <w:t xml:space="preserve">here are </w:t>
      </w:r>
      <w:r w:rsidR="000F6124" w:rsidRPr="00607F47">
        <w:rPr>
          <w:rFonts w:cs="Times New Roman"/>
        </w:rPr>
        <w:t>currently 208 active</w:t>
      </w:r>
      <w:r w:rsidRPr="004D7935">
        <w:rPr>
          <w:rFonts w:cs="Times New Roman"/>
        </w:rPr>
        <w:t xml:space="preserve"> horse</w:t>
      </w:r>
      <w:r w:rsidR="000F6124" w:rsidRPr="00607F47">
        <w:rPr>
          <w:rFonts w:cs="Times New Roman"/>
        </w:rPr>
        <w:t>-drawn</w:t>
      </w:r>
      <w:r w:rsidRPr="004D7935">
        <w:rPr>
          <w:rFonts w:cs="Times New Roman"/>
        </w:rPr>
        <w:t xml:space="preserve"> carriage </w:t>
      </w:r>
      <w:r w:rsidR="000F6124" w:rsidRPr="00607F47">
        <w:rPr>
          <w:rFonts w:cs="Times New Roman"/>
        </w:rPr>
        <w:t>licenses</w:t>
      </w:r>
      <w:r w:rsidR="000D2FF1" w:rsidRPr="00607F47">
        <w:rPr>
          <w:rFonts w:cs="Times New Roman"/>
        </w:rPr>
        <w:t xml:space="preserve"> in NYC</w:t>
      </w:r>
      <w:r w:rsidR="000F6124" w:rsidRPr="00607F47">
        <w:rPr>
          <w:rFonts w:cs="Times New Roman"/>
        </w:rPr>
        <w:t>.</w:t>
      </w:r>
      <w:r w:rsidR="00044296" w:rsidRPr="00607F47">
        <w:rPr>
          <w:rStyle w:val="FootnoteReference"/>
          <w:rFonts w:cs="Times New Roman"/>
        </w:rPr>
        <w:footnoteReference w:id="4"/>
      </w:r>
      <w:r w:rsidR="000D2FF1" w:rsidRPr="00607F47">
        <w:rPr>
          <w:rFonts w:cs="Times New Roman"/>
        </w:rPr>
        <w:t xml:space="preserve"> In addition, there are a total of </w:t>
      </w:r>
      <w:r w:rsidR="00D90550" w:rsidRPr="00607F47">
        <w:rPr>
          <w:rFonts w:cs="Times New Roman"/>
        </w:rPr>
        <w:t xml:space="preserve">52 </w:t>
      </w:r>
      <w:r w:rsidR="000D2FF1" w:rsidRPr="00607F47">
        <w:rPr>
          <w:rFonts w:cs="Times New Roman"/>
        </w:rPr>
        <w:t>license</w:t>
      </w:r>
      <w:r w:rsidR="00044296" w:rsidRPr="00607F47">
        <w:rPr>
          <w:rFonts w:cs="Times New Roman"/>
        </w:rPr>
        <w:t>d</w:t>
      </w:r>
      <w:r w:rsidR="000D2FF1" w:rsidRPr="00607F47">
        <w:rPr>
          <w:rFonts w:cs="Times New Roman"/>
        </w:rPr>
        <w:t xml:space="preserve"> horse carriage</w:t>
      </w:r>
      <w:r w:rsidR="002E4734" w:rsidRPr="00607F47">
        <w:rPr>
          <w:rFonts w:cs="Times New Roman"/>
        </w:rPr>
        <w:t xml:space="preserve"> owners</w:t>
      </w:r>
      <w:r w:rsidR="00044296" w:rsidRPr="00607F47">
        <w:rPr>
          <w:rFonts w:cs="Times New Roman"/>
        </w:rPr>
        <w:t xml:space="preserve"> in NYC</w:t>
      </w:r>
      <w:r w:rsidR="006560A0" w:rsidRPr="00607F47">
        <w:rPr>
          <w:rFonts w:cs="Times New Roman"/>
        </w:rPr>
        <w:t>, according to public data provided by DCWP</w:t>
      </w:r>
      <w:r w:rsidR="00044296" w:rsidRPr="00607F47">
        <w:rPr>
          <w:rFonts w:cs="Times New Roman"/>
        </w:rPr>
        <w:t>.</w:t>
      </w:r>
      <w:r w:rsidR="00044296" w:rsidRPr="00607F47">
        <w:rPr>
          <w:rStyle w:val="FootnoteReference"/>
          <w:rFonts w:cs="Times New Roman"/>
        </w:rPr>
        <w:footnoteReference w:id="5"/>
      </w:r>
      <w:r w:rsidR="00044296">
        <w:rPr>
          <w:rFonts w:cs="Times New Roman"/>
        </w:rPr>
        <w:t xml:space="preserve"> </w:t>
      </w:r>
      <w:r w:rsidR="001236BD">
        <w:rPr>
          <w:rFonts w:cs="Times New Roman"/>
        </w:rPr>
        <w:t>A</w:t>
      </w:r>
      <w:r w:rsidR="001236BD" w:rsidRPr="004D7935">
        <w:rPr>
          <w:rFonts w:cs="Times New Roman"/>
        </w:rPr>
        <w:t>ll</w:t>
      </w:r>
      <w:r w:rsidR="001236BD">
        <w:rPr>
          <w:rFonts w:cs="Times New Roman"/>
        </w:rPr>
        <w:t xml:space="preserve"> </w:t>
      </w:r>
      <w:r w:rsidRPr="004D7935">
        <w:rPr>
          <w:rFonts w:cs="Times New Roman"/>
        </w:rPr>
        <w:t xml:space="preserve">drivers and owners </w:t>
      </w:r>
      <w:r w:rsidR="00CD7B63">
        <w:rPr>
          <w:rFonts w:cs="Times New Roman"/>
        </w:rPr>
        <w:t>are</w:t>
      </w:r>
      <w:r w:rsidRPr="004D7935">
        <w:rPr>
          <w:rFonts w:cs="Times New Roman"/>
        </w:rPr>
        <w:t xml:space="preserve"> represented by the Transport Workers Union (TWU) Local 100.</w:t>
      </w:r>
      <w:r w:rsidRPr="004D7935">
        <w:rPr>
          <w:rStyle w:val="FootnoteReference"/>
          <w:rFonts w:cs="Times New Roman"/>
        </w:rPr>
        <w:footnoteReference w:id="6"/>
      </w:r>
      <w:r w:rsidRPr="004D7935">
        <w:rPr>
          <w:rFonts w:cs="Times New Roman"/>
        </w:rPr>
        <w:t xml:space="preserve"> </w:t>
      </w:r>
      <w:r w:rsidR="002A5334">
        <w:rPr>
          <w:rFonts w:cs="Times New Roman"/>
        </w:rPr>
        <w:t xml:space="preserve">These </w:t>
      </w:r>
      <w:r w:rsidRPr="004D7935">
        <w:rPr>
          <w:rFonts w:cs="Times New Roman"/>
        </w:rPr>
        <w:t>carriages</w:t>
      </w:r>
      <w:r w:rsidR="002A5334">
        <w:rPr>
          <w:rFonts w:cs="Times New Roman"/>
        </w:rPr>
        <w:t xml:space="preserve"> are</w:t>
      </w:r>
      <w:r w:rsidRPr="004D7935">
        <w:rPr>
          <w:rFonts w:cs="Times New Roman"/>
        </w:rPr>
        <w:t xml:space="preserve"> driven by more than 100 horses, which are kept in three stables.</w:t>
      </w:r>
      <w:r w:rsidRPr="004D7935">
        <w:rPr>
          <w:rStyle w:val="FootnoteReference"/>
          <w:rFonts w:cs="Times New Roman"/>
        </w:rPr>
        <w:footnoteReference w:id="7"/>
      </w:r>
      <w:r w:rsidRPr="004D7935">
        <w:rPr>
          <w:rFonts w:cs="Times New Roman"/>
        </w:rPr>
        <w:t xml:space="preserve"> These stables are located in Hell’s Kitchen, in the same neighborhood as the NYC Polic</w:t>
      </w:r>
      <w:r w:rsidR="00BE5F53">
        <w:rPr>
          <w:rFonts w:cs="Times New Roman"/>
        </w:rPr>
        <w:t>e</w:t>
      </w:r>
      <w:r w:rsidRPr="004D7935">
        <w:rPr>
          <w:rFonts w:cs="Times New Roman"/>
        </w:rPr>
        <w:t xml:space="preserve"> Department’s Mounted Unit’s horse stables.</w:t>
      </w:r>
      <w:r w:rsidRPr="004D7935">
        <w:rPr>
          <w:rStyle w:val="FootnoteReference"/>
          <w:rFonts w:cs="Times New Roman"/>
        </w:rPr>
        <w:footnoteReference w:id="8"/>
      </w:r>
      <w:r w:rsidRPr="004D7935">
        <w:rPr>
          <w:rFonts w:cs="Times New Roman"/>
        </w:rPr>
        <w:t xml:space="preserve"> The commute between the stables and Central Park takes about 20 to 35 minutes.</w:t>
      </w:r>
      <w:r w:rsidRPr="004D7935">
        <w:rPr>
          <w:rStyle w:val="FootnoteReference"/>
          <w:rFonts w:cs="Times New Roman"/>
        </w:rPr>
        <w:footnoteReference w:id="9"/>
      </w:r>
      <w:r w:rsidRPr="004D7935">
        <w:rPr>
          <w:rFonts w:cs="Times New Roman"/>
        </w:rPr>
        <w:t xml:space="preserve"> This commute must take place sometime before 7:00 AM and after 9:00 PM Monday through Friday, with the hours shifting slightly on weekends, generally allowing the horses to avoid making their commute during rush hours.</w:t>
      </w:r>
      <w:r w:rsidRPr="004D7935">
        <w:rPr>
          <w:rStyle w:val="FootnoteReference"/>
          <w:rFonts w:cs="Times New Roman"/>
        </w:rPr>
        <w:footnoteReference w:id="10"/>
      </w:r>
      <w:r w:rsidRPr="004D7935">
        <w:rPr>
          <w:rFonts w:cs="Times New Roman"/>
        </w:rPr>
        <w:t xml:space="preserve"> </w:t>
      </w:r>
    </w:p>
    <w:p w14:paraId="3567094D" w14:textId="5B3B6FF9" w:rsidR="004052B6" w:rsidRPr="004D7935" w:rsidRDefault="004052B6" w:rsidP="004748FE">
      <w:pPr>
        <w:spacing w:after="0" w:line="480" w:lineRule="auto"/>
        <w:rPr>
          <w:rFonts w:cs="Times New Roman"/>
        </w:rPr>
      </w:pPr>
      <w:r w:rsidRPr="004D7935">
        <w:rPr>
          <w:rFonts w:cs="Times New Roman"/>
        </w:rPr>
        <w:tab/>
      </w:r>
      <w:r w:rsidR="00407D87">
        <w:rPr>
          <w:rFonts w:cs="Times New Roman"/>
        </w:rPr>
        <w:t>NYC</w:t>
      </w:r>
      <w:r w:rsidR="0063424C">
        <w:rPr>
          <w:rFonts w:cs="Times New Roman"/>
        </w:rPr>
        <w:t xml:space="preserve"> has</w:t>
      </w:r>
      <w:r w:rsidR="005550EB">
        <w:rPr>
          <w:rFonts w:cs="Times New Roman"/>
        </w:rPr>
        <w:t xml:space="preserve"> established</w:t>
      </w:r>
      <w:r w:rsidRPr="004D7935">
        <w:rPr>
          <w:rFonts w:cs="Times New Roman"/>
        </w:rPr>
        <w:t xml:space="preserve"> stringent rules </w:t>
      </w:r>
      <w:r w:rsidR="008516BB">
        <w:rPr>
          <w:rFonts w:cs="Times New Roman"/>
        </w:rPr>
        <w:t xml:space="preserve">governing </w:t>
      </w:r>
      <w:r w:rsidRPr="004D7935">
        <w:rPr>
          <w:rFonts w:cs="Times New Roman"/>
        </w:rPr>
        <w:t>the care and treatment of working horses in</w:t>
      </w:r>
      <w:r w:rsidR="00407D87">
        <w:rPr>
          <w:rFonts w:cs="Times New Roman"/>
        </w:rPr>
        <w:t xml:space="preserve"> the City</w:t>
      </w:r>
      <w:r w:rsidRPr="004D7935">
        <w:rPr>
          <w:rFonts w:cs="Times New Roman"/>
        </w:rPr>
        <w:t>.</w:t>
      </w:r>
      <w:r w:rsidRPr="004D7935">
        <w:rPr>
          <w:rStyle w:val="FootnoteReference"/>
          <w:rFonts w:cs="Times New Roman"/>
        </w:rPr>
        <w:footnoteReference w:id="11"/>
      </w:r>
      <w:r w:rsidRPr="004D7935">
        <w:rPr>
          <w:rFonts w:cs="Times New Roman"/>
        </w:rPr>
        <w:t xml:space="preserve"> Under the current provisions, carriage horses are not permitted to work more than nine hours in any continuous 24-hour period, and riding horses are not allowed to work more than eight hours in the same time.</w:t>
      </w:r>
      <w:r w:rsidRPr="004D7935">
        <w:rPr>
          <w:rStyle w:val="FootnoteReference"/>
          <w:rFonts w:cs="Times New Roman"/>
        </w:rPr>
        <w:footnoteReference w:id="12"/>
      </w:r>
      <w:r w:rsidRPr="004D7935">
        <w:rPr>
          <w:rFonts w:cs="Times New Roman"/>
        </w:rPr>
        <w:t xml:space="preserve"> Carriage horses are also not allowed to operate</w:t>
      </w:r>
      <w:r w:rsidR="00407D87">
        <w:rPr>
          <w:rFonts w:cs="Times New Roman"/>
        </w:rPr>
        <w:t xml:space="preserve"> for hire</w:t>
      </w:r>
      <w:r w:rsidRPr="004D7935">
        <w:rPr>
          <w:rFonts w:cs="Times New Roman"/>
        </w:rPr>
        <w:t xml:space="preserve"> between the hours of 3:00 AM and 7:00 AM and may not be driven below 34</w:t>
      </w:r>
      <w:r w:rsidRPr="004D7935">
        <w:rPr>
          <w:rFonts w:cs="Times New Roman"/>
          <w:vertAlign w:val="superscript"/>
        </w:rPr>
        <w:t>th</w:t>
      </w:r>
      <w:r w:rsidRPr="004D7935">
        <w:rPr>
          <w:rFonts w:cs="Times New Roman"/>
        </w:rPr>
        <w:t xml:space="preserve"> Street in </w:t>
      </w:r>
      <w:r w:rsidRPr="004D7935">
        <w:rPr>
          <w:rFonts w:cs="Times New Roman"/>
        </w:rPr>
        <w:lastRenderedPageBreak/>
        <w:t>Manhattan.</w:t>
      </w:r>
      <w:r w:rsidRPr="004D7935">
        <w:rPr>
          <w:rStyle w:val="FootnoteReference"/>
          <w:rFonts w:cs="Times New Roman"/>
        </w:rPr>
        <w:footnoteReference w:id="13"/>
      </w:r>
      <w:r w:rsidRPr="004D7935">
        <w:rPr>
          <w:rFonts w:cs="Times New Roman"/>
        </w:rPr>
        <w:t xml:space="preserve"> All rental horses require veterinary exams every four to eight months, in addition to a yearly examination</w:t>
      </w:r>
      <w:r w:rsidR="00D727DE">
        <w:rPr>
          <w:rFonts w:cs="Times New Roman"/>
        </w:rPr>
        <w:t>.</w:t>
      </w:r>
      <w:r w:rsidR="001E0569">
        <w:rPr>
          <w:rStyle w:val="FootnoteReference"/>
          <w:rFonts w:cs="Times New Roman"/>
        </w:rPr>
        <w:footnoteReference w:id="14"/>
      </w:r>
      <w:r w:rsidRPr="004D7935">
        <w:rPr>
          <w:rFonts w:cs="Times New Roman"/>
        </w:rPr>
        <w:t xml:space="preserve"> </w:t>
      </w:r>
      <w:r w:rsidR="00D727DE">
        <w:rPr>
          <w:rFonts w:cs="Times New Roman"/>
        </w:rPr>
        <w:t>C</w:t>
      </w:r>
      <w:r w:rsidRPr="004D7935">
        <w:rPr>
          <w:rFonts w:cs="Times New Roman"/>
        </w:rPr>
        <w:t xml:space="preserve">arriage horses cannot be younger than </w:t>
      </w:r>
      <w:r w:rsidR="001E0569">
        <w:rPr>
          <w:rFonts w:cs="Times New Roman"/>
        </w:rPr>
        <w:t>five</w:t>
      </w:r>
      <w:r w:rsidR="00BF6A26">
        <w:rPr>
          <w:rFonts w:cs="Times New Roman"/>
        </w:rPr>
        <w:t xml:space="preserve"> </w:t>
      </w:r>
      <w:r w:rsidRPr="004D7935">
        <w:rPr>
          <w:rFonts w:cs="Times New Roman"/>
        </w:rPr>
        <w:t>nor older than 26 years of age.</w:t>
      </w:r>
      <w:r w:rsidRPr="004D7935">
        <w:rPr>
          <w:rStyle w:val="FootnoteReference"/>
          <w:rFonts w:cs="Times New Roman"/>
        </w:rPr>
        <w:footnoteReference w:id="15"/>
      </w:r>
      <w:r w:rsidRPr="004D7935">
        <w:rPr>
          <w:rFonts w:cs="Times New Roman"/>
        </w:rPr>
        <w:t xml:space="preserve"> From November to April, heavy winter blankets must be available for carriage horses in cold weather; the blankets must cover the horse from crest to rump.</w:t>
      </w:r>
      <w:r w:rsidRPr="004D7935">
        <w:rPr>
          <w:rStyle w:val="FootnoteReference"/>
          <w:rFonts w:cs="Times New Roman"/>
        </w:rPr>
        <w:footnoteReference w:id="16"/>
      </w:r>
      <w:r w:rsidRPr="004D7935">
        <w:rPr>
          <w:rFonts w:cs="Times New Roman"/>
        </w:rPr>
        <w:t xml:space="preserve"> Additionally, lighter blankets must be provided to carriage horses whenever it rains or if the temperature dips below 55 degrees Fahrenheit.</w:t>
      </w:r>
      <w:r w:rsidRPr="004D7935">
        <w:rPr>
          <w:rStyle w:val="FootnoteReference"/>
          <w:rFonts w:cs="Times New Roman"/>
        </w:rPr>
        <w:footnoteReference w:id="17"/>
      </w:r>
      <w:r w:rsidRPr="004D7935">
        <w:rPr>
          <w:rFonts w:cs="Times New Roman"/>
        </w:rPr>
        <w:t xml:space="preserve"> If the temperatures ever climb to or above 90 degrees Fahrenheit in the summer, or drop to or below 18 degrees Fahrenheit in the winter, carriage horses must stop working and be returned to their stables immediately.</w:t>
      </w:r>
      <w:r w:rsidRPr="004D7935">
        <w:rPr>
          <w:rStyle w:val="FootnoteReference"/>
          <w:rFonts w:cs="Times New Roman"/>
        </w:rPr>
        <w:footnoteReference w:id="18"/>
      </w:r>
      <w:r w:rsidRPr="004D7935">
        <w:rPr>
          <w:rFonts w:cs="Times New Roman"/>
        </w:rPr>
        <w:t xml:space="preserve"> </w:t>
      </w:r>
      <w:r w:rsidR="000F13CC">
        <w:rPr>
          <w:rFonts w:cs="Times New Roman"/>
        </w:rPr>
        <w:t>Furthermore, c</w:t>
      </w:r>
      <w:r w:rsidRPr="004D7935">
        <w:rPr>
          <w:rFonts w:cs="Times New Roman"/>
        </w:rPr>
        <w:t>arriage horses must receive an annual five-week furlough.</w:t>
      </w:r>
      <w:r w:rsidRPr="004D7935">
        <w:rPr>
          <w:rStyle w:val="FootnoteReference"/>
          <w:rFonts w:cs="Times New Roman"/>
        </w:rPr>
        <w:footnoteReference w:id="19"/>
      </w:r>
      <w:r w:rsidRPr="004D7935">
        <w:rPr>
          <w:rFonts w:cs="Times New Roman"/>
        </w:rPr>
        <w:t xml:space="preserve"> Stalls for the horses in their stables must be at least </w:t>
      </w:r>
      <w:r w:rsidR="001E0569">
        <w:rPr>
          <w:rFonts w:cs="Times New Roman"/>
        </w:rPr>
        <w:t>60</w:t>
      </w:r>
      <w:r w:rsidRPr="004D7935">
        <w:rPr>
          <w:rFonts w:cs="Times New Roman"/>
        </w:rPr>
        <w:t xml:space="preserve"> square feet, with a minimum width of seven feet, allowing for carriage horses to turn around </w:t>
      </w:r>
      <w:r w:rsidR="00512582">
        <w:rPr>
          <w:rFonts w:cs="Times New Roman"/>
        </w:rPr>
        <w:t>and</w:t>
      </w:r>
      <w:r w:rsidRPr="004D7935">
        <w:rPr>
          <w:rFonts w:cs="Times New Roman"/>
        </w:rPr>
        <w:t xml:space="preserve"> lie down safely.</w:t>
      </w:r>
      <w:r w:rsidRPr="004D7935">
        <w:rPr>
          <w:rStyle w:val="FootnoteReference"/>
          <w:rFonts w:cs="Times New Roman"/>
        </w:rPr>
        <w:footnoteReference w:id="20"/>
      </w:r>
      <w:r w:rsidRPr="004D7935">
        <w:rPr>
          <w:rFonts w:cs="Times New Roman"/>
        </w:rPr>
        <w:t xml:space="preserve"> Horses are also prohibited from eating any vegetation in Central Park, according to NYC Parks rules.</w:t>
      </w:r>
      <w:r w:rsidRPr="004D7935">
        <w:rPr>
          <w:rStyle w:val="FootnoteReference"/>
          <w:rFonts w:cs="Times New Roman"/>
        </w:rPr>
        <w:footnoteReference w:id="21"/>
      </w:r>
    </w:p>
    <w:p w14:paraId="4CDCA13E" w14:textId="3436C748" w:rsidR="004052B6" w:rsidRPr="004D7935" w:rsidRDefault="004052B6" w:rsidP="00626569">
      <w:pPr>
        <w:spacing w:after="0" w:line="480" w:lineRule="auto"/>
        <w:contextualSpacing/>
        <w:rPr>
          <w:rFonts w:cs="Times New Roman"/>
        </w:rPr>
      </w:pPr>
      <w:r w:rsidRPr="004D7935">
        <w:rPr>
          <w:rFonts w:cs="Times New Roman"/>
        </w:rPr>
        <w:tab/>
        <w:t xml:space="preserve">Despite these regulations, further incidents have occurred, </w:t>
      </w:r>
      <w:r w:rsidR="006E034B">
        <w:rPr>
          <w:rFonts w:cs="Times New Roman"/>
        </w:rPr>
        <w:t>including</w:t>
      </w:r>
      <w:r w:rsidRPr="004D7935">
        <w:rPr>
          <w:rFonts w:cs="Times New Roman"/>
        </w:rPr>
        <w:t xml:space="preserve"> the collapse and eventual euthanasia of</w:t>
      </w:r>
      <w:r w:rsidR="00F6003E">
        <w:rPr>
          <w:rFonts w:cs="Times New Roman"/>
        </w:rPr>
        <w:t xml:space="preserve"> a carriage horse named</w:t>
      </w:r>
      <w:r w:rsidRPr="004D7935">
        <w:rPr>
          <w:rFonts w:cs="Times New Roman"/>
        </w:rPr>
        <w:t xml:space="preserve"> Ryder in 2022.</w:t>
      </w:r>
      <w:r w:rsidRPr="004D7935">
        <w:rPr>
          <w:rStyle w:val="FootnoteReference"/>
          <w:rFonts w:cs="Times New Roman"/>
        </w:rPr>
        <w:footnoteReference w:id="22"/>
      </w:r>
      <w:r w:rsidRPr="004D7935">
        <w:rPr>
          <w:rFonts w:cs="Times New Roman"/>
        </w:rPr>
        <w:t xml:space="preserve"> Ryder collapsed in Hell’s Kitchen and was treated </w:t>
      </w:r>
      <w:r w:rsidR="0083281F">
        <w:rPr>
          <w:rFonts w:cs="Times New Roman"/>
        </w:rPr>
        <w:t>at</w:t>
      </w:r>
      <w:r w:rsidRPr="004D7935">
        <w:rPr>
          <w:rFonts w:cs="Times New Roman"/>
        </w:rPr>
        <w:t xml:space="preserve"> </w:t>
      </w:r>
      <w:r w:rsidR="00873E6D">
        <w:rPr>
          <w:rFonts w:cs="Times New Roman"/>
        </w:rPr>
        <w:t xml:space="preserve">the </w:t>
      </w:r>
      <w:r w:rsidRPr="004D7935">
        <w:rPr>
          <w:rFonts w:cs="Times New Roman"/>
        </w:rPr>
        <w:t xml:space="preserve">scene before being helped off </w:t>
      </w:r>
      <w:r w:rsidR="008E1A19">
        <w:rPr>
          <w:rFonts w:cs="Times New Roman"/>
        </w:rPr>
        <w:t xml:space="preserve">the </w:t>
      </w:r>
      <w:r w:rsidRPr="004D7935">
        <w:rPr>
          <w:rFonts w:cs="Times New Roman"/>
        </w:rPr>
        <w:t>street.</w:t>
      </w:r>
      <w:r w:rsidRPr="004D7935">
        <w:rPr>
          <w:rStyle w:val="FootnoteReference"/>
          <w:rFonts w:cs="Times New Roman"/>
        </w:rPr>
        <w:footnoteReference w:id="23"/>
      </w:r>
      <w:r w:rsidRPr="004D7935">
        <w:rPr>
          <w:rFonts w:cs="Times New Roman"/>
        </w:rPr>
        <w:t xml:space="preserve"> According to a responding veterinarian, Ryder had a neurological disease that cause</w:t>
      </w:r>
      <w:r w:rsidR="00AD1006">
        <w:rPr>
          <w:rFonts w:cs="Times New Roman"/>
        </w:rPr>
        <w:t>d</w:t>
      </w:r>
      <w:r w:rsidRPr="004D7935">
        <w:rPr>
          <w:rFonts w:cs="Times New Roman"/>
        </w:rPr>
        <w:t xml:space="preserve"> </w:t>
      </w:r>
      <w:r w:rsidR="00AF3426">
        <w:rPr>
          <w:rFonts w:cs="Times New Roman"/>
        </w:rPr>
        <w:t xml:space="preserve">his </w:t>
      </w:r>
      <w:r w:rsidRPr="004D7935">
        <w:rPr>
          <w:rFonts w:cs="Times New Roman"/>
        </w:rPr>
        <w:t xml:space="preserve">collapse, and </w:t>
      </w:r>
      <w:r w:rsidR="001069BE">
        <w:rPr>
          <w:rFonts w:cs="Times New Roman"/>
        </w:rPr>
        <w:lastRenderedPageBreak/>
        <w:t>subsequent</w:t>
      </w:r>
      <w:r w:rsidRPr="004D7935">
        <w:rPr>
          <w:rFonts w:cs="Times New Roman"/>
        </w:rPr>
        <w:t xml:space="preserve"> diagnoses</w:t>
      </w:r>
      <w:r w:rsidR="00F6003E">
        <w:rPr>
          <w:rFonts w:cs="Times New Roman"/>
        </w:rPr>
        <w:t>,</w:t>
      </w:r>
      <w:r w:rsidR="001069BE">
        <w:rPr>
          <w:rFonts w:cs="Times New Roman"/>
        </w:rPr>
        <w:t xml:space="preserve"> including cancer</w:t>
      </w:r>
      <w:r w:rsidR="00DC2373">
        <w:rPr>
          <w:rFonts w:cs="Times New Roman"/>
        </w:rPr>
        <w:t>, ultimately led</w:t>
      </w:r>
      <w:r w:rsidRPr="004D7935">
        <w:rPr>
          <w:rFonts w:cs="Times New Roman"/>
        </w:rPr>
        <w:t xml:space="preserve"> to his euthanasia.</w:t>
      </w:r>
      <w:r w:rsidRPr="004D7935">
        <w:rPr>
          <w:rStyle w:val="FootnoteReference"/>
          <w:rFonts w:cs="Times New Roman"/>
        </w:rPr>
        <w:footnoteReference w:id="24"/>
      </w:r>
      <w:r w:rsidRPr="004D7935">
        <w:rPr>
          <w:rFonts w:cs="Times New Roman"/>
        </w:rPr>
        <w:t xml:space="preserve"> At the time of the incident, Ryder was </w:t>
      </w:r>
      <w:r w:rsidR="00D4396C">
        <w:rPr>
          <w:rFonts w:cs="Times New Roman"/>
        </w:rPr>
        <w:t>believed</w:t>
      </w:r>
      <w:r w:rsidRPr="004D7935">
        <w:rPr>
          <w:rFonts w:cs="Times New Roman"/>
        </w:rPr>
        <w:t xml:space="preserve"> to be 13 or 14 years old, but subsequent estimates placed his age at 26, </w:t>
      </w:r>
      <w:r w:rsidR="00391AA0">
        <w:rPr>
          <w:rFonts w:cs="Times New Roman"/>
        </w:rPr>
        <w:t>near the mandatory retirement age</w:t>
      </w:r>
      <w:r w:rsidRPr="004D7935">
        <w:rPr>
          <w:rFonts w:cs="Times New Roman"/>
        </w:rPr>
        <w:t xml:space="preserve"> </w:t>
      </w:r>
      <w:r w:rsidR="006D7B53">
        <w:rPr>
          <w:rFonts w:cs="Times New Roman"/>
        </w:rPr>
        <w:t>for carriage horses</w:t>
      </w:r>
      <w:r w:rsidRPr="004D7935">
        <w:rPr>
          <w:rFonts w:cs="Times New Roman"/>
        </w:rPr>
        <w:t>.</w:t>
      </w:r>
      <w:r w:rsidRPr="004D7935">
        <w:rPr>
          <w:rStyle w:val="FootnoteReference"/>
          <w:rFonts w:cs="Times New Roman"/>
        </w:rPr>
        <w:footnoteReference w:id="25"/>
      </w:r>
      <w:r w:rsidRPr="004D7935">
        <w:rPr>
          <w:rFonts w:cs="Times New Roman"/>
        </w:rPr>
        <w:t xml:space="preserve"> Ryder’s carriage driver was charged with animal cruelty in 2023 </w:t>
      </w:r>
      <w:r w:rsidR="007C3108">
        <w:rPr>
          <w:rFonts w:cs="Times New Roman"/>
        </w:rPr>
        <w:t>and</w:t>
      </w:r>
      <w:r w:rsidRPr="004D7935">
        <w:rPr>
          <w:rFonts w:cs="Times New Roman"/>
        </w:rPr>
        <w:t xml:space="preserve"> was later acquitted.</w:t>
      </w:r>
      <w:r w:rsidRPr="004D7935">
        <w:rPr>
          <w:rStyle w:val="FootnoteReference"/>
          <w:rFonts w:cs="Times New Roman"/>
        </w:rPr>
        <w:footnoteReference w:id="26"/>
      </w:r>
      <w:r w:rsidRPr="004D7935">
        <w:rPr>
          <w:rFonts w:cs="Times New Roman"/>
        </w:rPr>
        <w:t xml:space="preserve"> This incident prompted the introduction of </w:t>
      </w:r>
      <w:r w:rsidR="00F6003E">
        <w:rPr>
          <w:rFonts w:cs="Times New Roman"/>
        </w:rPr>
        <w:t>a bill</w:t>
      </w:r>
      <w:r w:rsidR="007C59FE">
        <w:rPr>
          <w:rFonts w:cs="Times New Roman"/>
        </w:rPr>
        <w:t>, Int. No. 573,</w:t>
      </w:r>
      <w:r w:rsidR="00F6003E">
        <w:rPr>
          <w:rFonts w:cs="Times New Roman"/>
        </w:rPr>
        <w:t xml:space="preserve"> </w:t>
      </w:r>
      <w:r w:rsidR="007C59FE">
        <w:rPr>
          <w:rFonts w:cs="Times New Roman"/>
        </w:rPr>
        <w:t xml:space="preserve">also </w:t>
      </w:r>
      <w:r w:rsidR="00F6003E">
        <w:rPr>
          <w:rFonts w:cs="Times New Roman"/>
        </w:rPr>
        <w:t>known as “</w:t>
      </w:r>
      <w:r w:rsidRPr="004D7935">
        <w:rPr>
          <w:rFonts w:cs="Times New Roman"/>
        </w:rPr>
        <w:t>Ryder’s Law</w:t>
      </w:r>
      <w:r w:rsidR="007C59FE" w:rsidRPr="00CA298C">
        <w:rPr>
          <w:rFonts w:cs="Times New Roman"/>
        </w:rPr>
        <w:t>,</w:t>
      </w:r>
      <w:r w:rsidR="00F6003E" w:rsidRPr="00CA298C">
        <w:rPr>
          <w:rFonts w:cs="Times New Roman"/>
        </w:rPr>
        <w:t xml:space="preserve">” </w:t>
      </w:r>
      <w:r w:rsidR="007C59FE" w:rsidRPr="00CA298C">
        <w:rPr>
          <w:rFonts w:cs="Times New Roman"/>
        </w:rPr>
        <w:t>in 2022</w:t>
      </w:r>
      <w:r w:rsidR="00F6003E" w:rsidRPr="00CA298C">
        <w:rPr>
          <w:rFonts w:cs="Times New Roman"/>
        </w:rPr>
        <w:t>.</w:t>
      </w:r>
      <w:r w:rsidR="007C59FE" w:rsidRPr="00CA298C">
        <w:rPr>
          <w:rStyle w:val="FootnoteReference"/>
          <w:rFonts w:cs="Times New Roman"/>
        </w:rPr>
        <w:footnoteReference w:id="27"/>
      </w:r>
      <w:r w:rsidR="00F6003E">
        <w:rPr>
          <w:rFonts w:cs="Times New Roman"/>
        </w:rPr>
        <w:t xml:space="preserve"> </w:t>
      </w:r>
      <w:r w:rsidR="00AC65D2">
        <w:rPr>
          <w:rFonts w:cs="Times New Roman"/>
        </w:rPr>
        <w:t>Council Member Marte</w:t>
      </w:r>
      <w:r w:rsidR="00F6003E">
        <w:rPr>
          <w:rFonts w:cs="Times New Roman"/>
        </w:rPr>
        <w:t xml:space="preserve"> reintroduced </w:t>
      </w:r>
      <w:r w:rsidR="00AC65D2">
        <w:rPr>
          <w:rFonts w:cs="Times New Roman"/>
        </w:rPr>
        <w:t xml:space="preserve">the bill </w:t>
      </w:r>
      <w:r w:rsidR="00F6003E">
        <w:rPr>
          <w:rFonts w:cs="Times New Roman"/>
        </w:rPr>
        <w:t xml:space="preserve">this Council session as </w:t>
      </w:r>
      <w:r w:rsidRPr="004D7935">
        <w:rPr>
          <w:rFonts w:cs="Times New Roman"/>
        </w:rPr>
        <w:t xml:space="preserve">Int. No. 943, now known as </w:t>
      </w:r>
      <w:r w:rsidR="00F8190F">
        <w:rPr>
          <w:rFonts w:cs="Times New Roman"/>
        </w:rPr>
        <w:t>“</w:t>
      </w:r>
      <w:r w:rsidRPr="004D7935">
        <w:rPr>
          <w:rFonts w:cs="Times New Roman"/>
        </w:rPr>
        <w:t>Romanch’s Law</w:t>
      </w:r>
      <w:r w:rsidR="00F8190F">
        <w:rPr>
          <w:rFonts w:cs="Times New Roman"/>
        </w:rPr>
        <w:t>”</w:t>
      </w:r>
      <w:r w:rsidRPr="004D7935">
        <w:rPr>
          <w:rFonts w:cs="Times New Roman"/>
        </w:rPr>
        <w:t>.</w:t>
      </w:r>
      <w:r w:rsidRPr="004D7935">
        <w:rPr>
          <w:rStyle w:val="FootnoteReference"/>
          <w:rFonts w:cs="Times New Roman"/>
        </w:rPr>
        <w:footnoteReference w:id="28"/>
      </w:r>
    </w:p>
    <w:p w14:paraId="6E03A033" w14:textId="6076CDC5" w:rsidR="00856416" w:rsidRPr="00D64233" w:rsidRDefault="004052B6" w:rsidP="007C59FE">
      <w:pPr>
        <w:pStyle w:val="ListParagraph"/>
        <w:spacing w:after="0" w:line="480" w:lineRule="auto"/>
        <w:ind w:left="0"/>
        <w:jc w:val="both"/>
        <w:rPr>
          <w:rFonts w:cs="Times New Roman"/>
        </w:rPr>
      </w:pPr>
      <w:r w:rsidRPr="004D7935">
        <w:rPr>
          <w:rFonts w:cs="Times New Roman"/>
        </w:rPr>
        <w:tab/>
      </w:r>
      <w:r w:rsidR="00F6003E">
        <w:rPr>
          <w:rFonts w:cs="Times New Roman"/>
        </w:rPr>
        <w:t xml:space="preserve">In addition to the laws and regulations governing the treatment of horses, extensive local regulations exist that are </w:t>
      </w:r>
      <w:r w:rsidRPr="004D7935">
        <w:rPr>
          <w:rFonts w:cs="Times New Roman"/>
        </w:rPr>
        <w:t>designed to protect riders</w:t>
      </w:r>
      <w:r w:rsidR="00F6003E">
        <w:rPr>
          <w:rFonts w:cs="Times New Roman"/>
        </w:rPr>
        <w:t xml:space="preserve">, </w:t>
      </w:r>
      <w:r w:rsidRPr="004D7935">
        <w:rPr>
          <w:rFonts w:cs="Times New Roman"/>
        </w:rPr>
        <w:t>drivers</w:t>
      </w:r>
      <w:r w:rsidR="00F6003E">
        <w:rPr>
          <w:rFonts w:cs="Times New Roman"/>
        </w:rPr>
        <w:t>, and the public</w:t>
      </w:r>
      <w:r w:rsidRPr="004D7935">
        <w:rPr>
          <w:rFonts w:cs="Times New Roman"/>
        </w:rPr>
        <w:t>.</w:t>
      </w:r>
      <w:r w:rsidRPr="004D7935">
        <w:rPr>
          <w:rStyle w:val="FootnoteReference"/>
          <w:rFonts w:cs="Times New Roman"/>
        </w:rPr>
        <w:footnoteReference w:id="29"/>
      </w:r>
      <w:r w:rsidRPr="004D7935">
        <w:rPr>
          <w:rFonts w:cs="Times New Roman"/>
        </w:rPr>
        <w:t xml:space="preserve"> Horse carriage drivers must complete the Horse Drawn Carriage Operator’s Course, administered by DOHMH, </w:t>
      </w:r>
      <w:r w:rsidR="00552AE1">
        <w:rPr>
          <w:rFonts w:cs="Times New Roman"/>
        </w:rPr>
        <w:t>before</w:t>
      </w:r>
      <w:r w:rsidRPr="004D7935">
        <w:rPr>
          <w:rFonts w:cs="Times New Roman"/>
        </w:rPr>
        <w:t xml:space="preserve"> apply</w:t>
      </w:r>
      <w:r w:rsidR="00552AE1">
        <w:rPr>
          <w:rFonts w:cs="Times New Roman"/>
        </w:rPr>
        <w:t>ing for</w:t>
      </w:r>
      <w:r w:rsidRPr="004D7935">
        <w:rPr>
          <w:rFonts w:cs="Times New Roman"/>
        </w:rPr>
        <w:t xml:space="preserve"> a horse driver’s license</w:t>
      </w:r>
      <w:r w:rsidR="00E718E4">
        <w:rPr>
          <w:rFonts w:cs="Times New Roman"/>
        </w:rPr>
        <w:t xml:space="preserve"> </w:t>
      </w:r>
      <w:r w:rsidRPr="004D7935">
        <w:rPr>
          <w:rFonts w:cs="Times New Roman"/>
        </w:rPr>
        <w:t>issued by DCWP.</w:t>
      </w:r>
      <w:r w:rsidRPr="004D7935">
        <w:rPr>
          <w:rStyle w:val="FootnoteReference"/>
          <w:rFonts w:cs="Times New Roman"/>
        </w:rPr>
        <w:footnoteReference w:id="30"/>
      </w:r>
      <w:r w:rsidRPr="004D7935">
        <w:rPr>
          <w:rFonts w:cs="Times New Roman"/>
        </w:rPr>
        <w:t xml:space="preserve"> The course is offered four times</w:t>
      </w:r>
      <w:r w:rsidR="002448CA">
        <w:rPr>
          <w:rFonts w:cs="Times New Roman"/>
        </w:rPr>
        <w:t xml:space="preserve"> per</w:t>
      </w:r>
      <w:r w:rsidRPr="004D7935">
        <w:rPr>
          <w:rFonts w:cs="Times New Roman"/>
        </w:rPr>
        <w:t xml:space="preserve"> year and </w:t>
      </w:r>
      <w:r w:rsidR="007F7369">
        <w:rPr>
          <w:rFonts w:cs="Times New Roman"/>
        </w:rPr>
        <w:t>consists of</w:t>
      </w:r>
      <w:r w:rsidRPr="004D7935">
        <w:rPr>
          <w:rFonts w:cs="Times New Roman"/>
        </w:rPr>
        <w:t xml:space="preserve"> 12 hours </w:t>
      </w:r>
      <w:r w:rsidR="007F7369">
        <w:rPr>
          <w:rFonts w:cs="Times New Roman"/>
        </w:rPr>
        <w:t>of instruction over</w:t>
      </w:r>
      <w:r w:rsidRPr="004D7935">
        <w:rPr>
          <w:rFonts w:cs="Times New Roman"/>
        </w:rPr>
        <w:t xml:space="preserve"> a two-day period.</w:t>
      </w:r>
      <w:r w:rsidRPr="004D7935">
        <w:rPr>
          <w:rStyle w:val="FootnoteReference"/>
          <w:rFonts w:cs="Times New Roman"/>
        </w:rPr>
        <w:footnoteReference w:id="31"/>
      </w:r>
      <w:r w:rsidRPr="004D7935">
        <w:rPr>
          <w:rFonts w:cs="Times New Roman"/>
        </w:rPr>
        <w:t xml:space="preserve"> </w:t>
      </w:r>
      <w:r w:rsidR="007F7369">
        <w:rPr>
          <w:rFonts w:cs="Times New Roman"/>
        </w:rPr>
        <w:t xml:space="preserve">Applicants must hold </w:t>
      </w:r>
      <w:r w:rsidR="00F46E30">
        <w:rPr>
          <w:rFonts w:cs="Times New Roman"/>
        </w:rPr>
        <w:t xml:space="preserve">a </w:t>
      </w:r>
      <w:r w:rsidRPr="004D7935">
        <w:rPr>
          <w:rFonts w:cs="Times New Roman"/>
        </w:rPr>
        <w:t>current valid motor vehicle driver’s license to enroll in the course.</w:t>
      </w:r>
      <w:r w:rsidRPr="004D7935">
        <w:rPr>
          <w:rStyle w:val="FootnoteReference"/>
          <w:rFonts w:cs="Times New Roman"/>
        </w:rPr>
        <w:footnoteReference w:id="32"/>
      </w:r>
      <w:r w:rsidRPr="004D7935">
        <w:rPr>
          <w:rFonts w:cs="Times New Roman"/>
        </w:rPr>
        <w:t xml:space="preserve"> </w:t>
      </w:r>
      <w:r w:rsidR="00E52F3D">
        <w:rPr>
          <w:rFonts w:cs="Times New Roman"/>
        </w:rPr>
        <w:t>Horse</w:t>
      </w:r>
      <w:r w:rsidR="00607F47">
        <w:rPr>
          <w:rFonts w:cs="Times New Roman"/>
        </w:rPr>
        <w:t>-</w:t>
      </w:r>
      <w:r w:rsidR="00E52F3D">
        <w:rPr>
          <w:rFonts w:cs="Times New Roman"/>
        </w:rPr>
        <w:t xml:space="preserve">drawn carriages </w:t>
      </w:r>
      <w:r w:rsidRPr="004D7935">
        <w:rPr>
          <w:rFonts w:cs="Times New Roman"/>
        </w:rPr>
        <w:t>must be equipped with an emergency brake system</w:t>
      </w:r>
      <w:r w:rsidR="00675B2A">
        <w:rPr>
          <w:rFonts w:cs="Times New Roman"/>
        </w:rPr>
        <w:t xml:space="preserve"> </w:t>
      </w:r>
      <w:r w:rsidRPr="004D7935">
        <w:rPr>
          <w:rFonts w:cs="Times New Roman"/>
        </w:rPr>
        <w:t xml:space="preserve">and sufficient lighting and reflective materials, including at the location </w:t>
      </w:r>
      <w:r w:rsidR="002969B5">
        <w:rPr>
          <w:rFonts w:cs="Times New Roman"/>
        </w:rPr>
        <w:t>where</w:t>
      </w:r>
      <w:r w:rsidRPr="004D7935">
        <w:rPr>
          <w:rFonts w:cs="Times New Roman"/>
        </w:rPr>
        <w:t xml:space="preserve"> the </w:t>
      </w:r>
      <w:r w:rsidR="00F5697C">
        <w:rPr>
          <w:rFonts w:cs="Times New Roman"/>
        </w:rPr>
        <w:t xml:space="preserve">carriage </w:t>
      </w:r>
      <w:r w:rsidRPr="004D7935">
        <w:rPr>
          <w:rFonts w:cs="Times New Roman"/>
        </w:rPr>
        <w:t>license is affixed.</w:t>
      </w:r>
      <w:r w:rsidRPr="004D7935">
        <w:rPr>
          <w:rStyle w:val="FootnoteReference"/>
          <w:rFonts w:cs="Times New Roman"/>
        </w:rPr>
        <w:footnoteReference w:id="33"/>
      </w:r>
      <w:r w:rsidRPr="004D7935">
        <w:rPr>
          <w:rFonts w:cs="Times New Roman"/>
        </w:rPr>
        <w:t xml:space="preserve"> Furthermore, </w:t>
      </w:r>
      <w:r w:rsidR="00822080">
        <w:rPr>
          <w:rFonts w:cs="Times New Roman"/>
        </w:rPr>
        <w:t xml:space="preserve">NYC regulations require that </w:t>
      </w:r>
      <w:r w:rsidRPr="004D7935">
        <w:rPr>
          <w:rFonts w:cs="Times New Roman"/>
        </w:rPr>
        <w:t>a person riding or leading a horse or d</w:t>
      </w:r>
      <w:r w:rsidR="00A67991">
        <w:rPr>
          <w:rFonts w:cs="Times New Roman"/>
        </w:rPr>
        <w:t>r</w:t>
      </w:r>
      <w:r w:rsidRPr="004D7935">
        <w:rPr>
          <w:rFonts w:cs="Times New Roman"/>
        </w:rPr>
        <w:t xml:space="preserve">iving a horse-drawn carriage </w:t>
      </w:r>
      <w:r w:rsidR="001A753B">
        <w:rPr>
          <w:rFonts w:cs="Times New Roman"/>
        </w:rPr>
        <w:t>to continuously hold the reins</w:t>
      </w:r>
      <w:r w:rsidRPr="004D7935">
        <w:rPr>
          <w:rFonts w:cs="Times New Roman"/>
        </w:rPr>
        <w:t>.</w:t>
      </w:r>
      <w:r w:rsidRPr="004D7935">
        <w:rPr>
          <w:rStyle w:val="FootnoteReference"/>
          <w:rFonts w:cs="Times New Roman"/>
        </w:rPr>
        <w:footnoteReference w:id="34"/>
      </w:r>
    </w:p>
    <w:p w14:paraId="718C838A" w14:textId="29FE8D7E" w:rsidR="00E20FA4" w:rsidRPr="00933352" w:rsidRDefault="00C628B4" w:rsidP="00933352">
      <w:pPr>
        <w:pStyle w:val="ListParagraph"/>
        <w:numPr>
          <w:ilvl w:val="2"/>
          <w:numId w:val="3"/>
        </w:numPr>
        <w:spacing w:after="0" w:line="480" w:lineRule="auto"/>
        <w:jc w:val="both"/>
        <w:rPr>
          <w:rFonts w:cs="Times New Roman"/>
          <w:b/>
          <w:szCs w:val="24"/>
        </w:rPr>
      </w:pPr>
      <w:r>
        <w:rPr>
          <w:rFonts w:cs="Times New Roman"/>
          <w:b/>
          <w:szCs w:val="24"/>
        </w:rPr>
        <w:lastRenderedPageBreak/>
        <w:t>Recent Developments</w:t>
      </w:r>
    </w:p>
    <w:p w14:paraId="3AE091D3" w14:textId="2E486542" w:rsidR="00D64233" w:rsidRDefault="006A26BE" w:rsidP="00933352">
      <w:pPr>
        <w:spacing w:after="0" w:line="480" w:lineRule="auto"/>
        <w:ind w:firstLine="720"/>
        <w:rPr>
          <w:rFonts w:cs="Times New Roman"/>
        </w:rPr>
      </w:pPr>
      <w:r w:rsidRPr="004D7935">
        <w:rPr>
          <w:rFonts w:cs="Times New Roman"/>
        </w:rPr>
        <w:t>Recent incidents have re</w:t>
      </w:r>
      <w:r w:rsidR="000D4E75">
        <w:rPr>
          <w:rFonts w:cs="Times New Roman"/>
        </w:rPr>
        <w:t>ignited</w:t>
      </w:r>
      <w:r w:rsidRPr="004D7935">
        <w:rPr>
          <w:rFonts w:cs="Times New Roman"/>
        </w:rPr>
        <w:t xml:space="preserve"> the debate over whether these current regulations are </w:t>
      </w:r>
      <w:r w:rsidR="007D4BB0">
        <w:rPr>
          <w:rFonts w:cs="Times New Roman"/>
        </w:rPr>
        <w:t>sufficient</w:t>
      </w:r>
      <w:r w:rsidRPr="004D7935">
        <w:rPr>
          <w:rFonts w:cs="Times New Roman"/>
        </w:rPr>
        <w:t xml:space="preserve">, and </w:t>
      </w:r>
      <w:r w:rsidR="005329EF">
        <w:rPr>
          <w:rFonts w:cs="Times New Roman"/>
        </w:rPr>
        <w:t xml:space="preserve">raised renewed questions over </w:t>
      </w:r>
      <w:r w:rsidRPr="004D7935">
        <w:rPr>
          <w:rFonts w:cs="Times New Roman"/>
        </w:rPr>
        <w:t>the future of the horse</w:t>
      </w:r>
      <w:r w:rsidR="00E45E09">
        <w:rPr>
          <w:rFonts w:cs="Times New Roman"/>
        </w:rPr>
        <w:t>-</w:t>
      </w:r>
      <w:r w:rsidR="0058441F">
        <w:rPr>
          <w:rFonts w:cs="Times New Roman"/>
        </w:rPr>
        <w:t xml:space="preserve">drawn </w:t>
      </w:r>
      <w:r w:rsidRPr="004D7935">
        <w:rPr>
          <w:rFonts w:cs="Times New Roman"/>
        </w:rPr>
        <w:t>carriage industry.</w:t>
      </w:r>
      <w:r w:rsidRPr="004D7935">
        <w:rPr>
          <w:rStyle w:val="FootnoteReference"/>
          <w:rFonts w:cs="Times New Roman"/>
        </w:rPr>
        <w:footnoteReference w:id="35"/>
      </w:r>
      <w:r w:rsidRPr="004D7935">
        <w:rPr>
          <w:rFonts w:cs="Times New Roman"/>
        </w:rPr>
        <w:t xml:space="preserve"> Most recently, on June 17, 2026, 18-year-old Romanch Mahajan, a tourist from India, died after</w:t>
      </w:r>
      <w:r w:rsidR="00DE1EEE">
        <w:rPr>
          <w:rFonts w:cs="Times New Roman"/>
        </w:rPr>
        <w:t xml:space="preserve"> hitting his head after</w:t>
      </w:r>
      <w:r w:rsidRPr="004D7935">
        <w:rPr>
          <w:rFonts w:cs="Times New Roman"/>
        </w:rPr>
        <w:t xml:space="preserve"> </w:t>
      </w:r>
      <w:r w:rsidR="00DE1EEE">
        <w:rPr>
          <w:rFonts w:cs="Times New Roman"/>
        </w:rPr>
        <w:t>falling</w:t>
      </w:r>
      <w:r w:rsidRPr="004D7935">
        <w:rPr>
          <w:rFonts w:cs="Times New Roman"/>
        </w:rPr>
        <w:t xml:space="preserve"> from a horse</w:t>
      </w:r>
      <w:r w:rsidR="00607F47">
        <w:rPr>
          <w:rFonts w:cs="Times New Roman"/>
        </w:rPr>
        <w:t>-</w:t>
      </w:r>
      <w:r w:rsidRPr="004D7935">
        <w:rPr>
          <w:rFonts w:cs="Times New Roman"/>
        </w:rPr>
        <w:t xml:space="preserve">drawn carriage in Central Park in </w:t>
      </w:r>
      <w:r w:rsidR="00DE1EEE">
        <w:rPr>
          <w:rFonts w:cs="Times New Roman"/>
        </w:rPr>
        <w:t>what his family reports was an</w:t>
      </w:r>
      <w:r w:rsidRPr="004D7935">
        <w:rPr>
          <w:rFonts w:cs="Times New Roman"/>
        </w:rPr>
        <w:t xml:space="preserve"> attempt to save his mother after she </w:t>
      </w:r>
      <w:r w:rsidR="00723FDE">
        <w:rPr>
          <w:rFonts w:cs="Times New Roman"/>
        </w:rPr>
        <w:t>was</w:t>
      </w:r>
      <w:r w:rsidRPr="004D7935">
        <w:rPr>
          <w:rFonts w:cs="Times New Roman"/>
        </w:rPr>
        <w:t xml:space="preserve"> thrown from the carriage.</w:t>
      </w:r>
      <w:r w:rsidRPr="004D7935">
        <w:rPr>
          <w:rStyle w:val="FootnoteReference"/>
          <w:rFonts w:cs="Times New Roman"/>
        </w:rPr>
        <w:footnoteReference w:id="36"/>
      </w:r>
      <w:r w:rsidRPr="004D7935">
        <w:rPr>
          <w:rFonts w:cs="Times New Roman"/>
        </w:rPr>
        <w:t xml:space="preserve"> The incident occurred after the horse carriage driver</w:t>
      </w:r>
      <w:r w:rsidR="00A67991">
        <w:rPr>
          <w:rFonts w:cs="Times New Roman"/>
        </w:rPr>
        <w:t>, despite the requirement to continuously hold the reins,</w:t>
      </w:r>
      <w:r w:rsidRPr="004D7935">
        <w:rPr>
          <w:rFonts w:cs="Times New Roman"/>
        </w:rPr>
        <w:t xml:space="preserve"> dismounted to take a picture of the passengers, which included Mr. Mahajan, his mother, and two other family members</w:t>
      </w:r>
      <w:r w:rsidR="00A67991">
        <w:rPr>
          <w:rFonts w:cs="Times New Roman"/>
        </w:rPr>
        <w:t>.</w:t>
      </w:r>
      <w:r w:rsidRPr="004D7935">
        <w:rPr>
          <w:rStyle w:val="FootnoteReference"/>
          <w:rFonts w:cs="Times New Roman"/>
        </w:rPr>
        <w:footnoteReference w:id="37"/>
      </w:r>
      <w:r w:rsidRPr="004D7935">
        <w:rPr>
          <w:rFonts w:cs="Times New Roman"/>
        </w:rPr>
        <w:t xml:space="preserve"> </w:t>
      </w:r>
      <w:r w:rsidR="00A67991">
        <w:rPr>
          <w:rFonts w:cs="Times New Roman"/>
        </w:rPr>
        <w:t xml:space="preserve">While </w:t>
      </w:r>
      <w:r w:rsidRPr="004D7935">
        <w:rPr>
          <w:rFonts w:cs="Times New Roman"/>
        </w:rPr>
        <w:t>the driver</w:t>
      </w:r>
      <w:r w:rsidR="00A67991">
        <w:rPr>
          <w:rFonts w:cs="Times New Roman"/>
        </w:rPr>
        <w:t xml:space="preserve"> had</w:t>
      </w:r>
      <w:r w:rsidRPr="004D7935">
        <w:rPr>
          <w:rFonts w:cs="Times New Roman"/>
        </w:rPr>
        <w:t xml:space="preserve"> stepped away, the horse, named Sampson</w:t>
      </w:r>
      <w:r w:rsidR="00E51B7C">
        <w:rPr>
          <w:rFonts w:cs="Times New Roman"/>
        </w:rPr>
        <w:t>,</w:t>
      </w:r>
      <w:r w:rsidRPr="004D7935">
        <w:rPr>
          <w:rFonts w:cs="Times New Roman"/>
        </w:rPr>
        <w:t xml:space="preserve"> who was relatively new to </w:t>
      </w:r>
      <w:r w:rsidR="004A76B8">
        <w:rPr>
          <w:rFonts w:cs="Times New Roman"/>
        </w:rPr>
        <w:t xml:space="preserve">working in </w:t>
      </w:r>
      <w:r w:rsidRPr="004D7935">
        <w:rPr>
          <w:rFonts w:cs="Times New Roman"/>
        </w:rPr>
        <w:t xml:space="preserve">Central Park, </w:t>
      </w:r>
      <w:r w:rsidR="00F768F9">
        <w:rPr>
          <w:rFonts w:cs="Times New Roman"/>
        </w:rPr>
        <w:t>became startled</w:t>
      </w:r>
      <w:r w:rsidRPr="004D7935">
        <w:rPr>
          <w:rFonts w:cs="Times New Roman"/>
        </w:rPr>
        <w:t xml:space="preserve"> and bolted.</w:t>
      </w:r>
      <w:r w:rsidRPr="004D7935">
        <w:rPr>
          <w:rStyle w:val="FootnoteReference"/>
          <w:rFonts w:cs="Times New Roman"/>
        </w:rPr>
        <w:footnoteReference w:id="38"/>
      </w:r>
      <w:r w:rsidRPr="004D7935">
        <w:rPr>
          <w:rFonts w:cs="Times New Roman"/>
        </w:rPr>
        <w:t xml:space="preserve"> </w:t>
      </w:r>
      <w:r w:rsidR="00DE1EEE">
        <w:rPr>
          <w:rFonts w:cs="Times New Roman"/>
        </w:rPr>
        <w:t>Mrs. Mahajan was thrown from the carriage, Romanch fell from the carriage, and t</w:t>
      </w:r>
      <w:r w:rsidRPr="004D7935">
        <w:rPr>
          <w:rFonts w:cs="Times New Roman"/>
        </w:rPr>
        <w:t xml:space="preserve">he carriage </w:t>
      </w:r>
      <w:r w:rsidR="00DE1EEE">
        <w:rPr>
          <w:rFonts w:cs="Times New Roman"/>
        </w:rPr>
        <w:t xml:space="preserve">ultimately </w:t>
      </w:r>
      <w:r w:rsidR="00D31AC7">
        <w:rPr>
          <w:rFonts w:cs="Times New Roman"/>
        </w:rPr>
        <w:t xml:space="preserve">came to a stop </w:t>
      </w:r>
      <w:r w:rsidR="00DB5BCB">
        <w:rPr>
          <w:rFonts w:cs="Times New Roman"/>
        </w:rPr>
        <w:t>only after</w:t>
      </w:r>
      <w:r w:rsidRPr="004D7935">
        <w:rPr>
          <w:rFonts w:cs="Times New Roman"/>
        </w:rPr>
        <w:t xml:space="preserve"> colli</w:t>
      </w:r>
      <w:r w:rsidR="00DB5BCB">
        <w:rPr>
          <w:rFonts w:cs="Times New Roman"/>
        </w:rPr>
        <w:t>ding with</w:t>
      </w:r>
      <w:r w:rsidRPr="004D7935">
        <w:rPr>
          <w:rFonts w:cs="Times New Roman"/>
        </w:rPr>
        <w:t xml:space="preserve"> another carriage</w:t>
      </w:r>
      <w:r w:rsidR="00703B49">
        <w:rPr>
          <w:rFonts w:cs="Times New Roman"/>
        </w:rPr>
        <w:t xml:space="preserve"> and flipping</w:t>
      </w:r>
      <w:r w:rsidR="00DE1EEE">
        <w:rPr>
          <w:rFonts w:cs="Times New Roman"/>
        </w:rPr>
        <w:t xml:space="preserve">, with </w:t>
      </w:r>
      <w:r w:rsidRPr="004D7935">
        <w:rPr>
          <w:rFonts w:cs="Times New Roman"/>
        </w:rPr>
        <w:t xml:space="preserve">the two </w:t>
      </w:r>
      <w:r w:rsidR="00703B49">
        <w:rPr>
          <w:rFonts w:cs="Times New Roman"/>
        </w:rPr>
        <w:t>remaining</w:t>
      </w:r>
      <w:r w:rsidRPr="004D7935">
        <w:rPr>
          <w:rFonts w:cs="Times New Roman"/>
        </w:rPr>
        <w:t xml:space="preserve"> family members still inside.</w:t>
      </w:r>
      <w:r w:rsidRPr="004D7935">
        <w:rPr>
          <w:rStyle w:val="FootnoteReference"/>
          <w:rFonts w:cs="Times New Roman"/>
        </w:rPr>
        <w:footnoteReference w:id="39"/>
      </w:r>
      <w:r w:rsidRPr="004D7935">
        <w:rPr>
          <w:rFonts w:cs="Times New Roman"/>
        </w:rPr>
        <w:t xml:space="preserve"> Following the incident, the horse carriage driver</w:t>
      </w:r>
      <w:r w:rsidR="00A30E8D">
        <w:rPr>
          <w:rFonts w:cs="Times New Roman"/>
        </w:rPr>
        <w:t xml:space="preserve">’s license </w:t>
      </w:r>
      <w:r w:rsidRPr="004D7935">
        <w:rPr>
          <w:rFonts w:cs="Times New Roman"/>
        </w:rPr>
        <w:t>was suspended</w:t>
      </w:r>
      <w:r w:rsidR="00D64233">
        <w:rPr>
          <w:rFonts w:cs="Times New Roman"/>
        </w:rPr>
        <w:t xml:space="preserve"> and</w:t>
      </w:r>
      <w:r w:rsidR="00DE1EEE">
        <w:rPr>
          <w:rFonts w:cs="Times New Roman"/>
        </w:rPr>
        <w:t xml:space="preserve"> </w:t>
      </w:r>
      <w:r w:rsidR="00C519D4">
        <w:rPr>
          <w:rFonts w:cs="Times New Roman"/>
        </w:rPr>
        <w:t>Sampson</w:t>
      </w:r>
      <w:r w:rsidRPr="004D7935">
        <w:rPr>
          <w:rFonts w:cs="Times New Roman"/>
        </w:rPr>
        <w:t xml:space="preserve"> is expected to be retired.</w:t>
      </w:r>
      <w:r w:rsidRPr="004D7935">
        <w:rPr>
          <w:rStyle w:val="FootnoteReference"/>
          <w:rFonts w:cs="Times New Roman"/>
        </w:rPr>
        <w:footnoteReference w:id="40"/>
      </w:r>
      <w:r w:rsidRPr="004D7935">
        <w:rPr>
          <w:rFonts w:cs="Times New Roman"/>
        </w:rPr>
        <w:t xml:space="preserve"> While it is unclear </w:t>
      </w:r>
      <w:r w:rsidR="00A4147E">
        <w:rPr>
          <w:rFonts w:cs="Times New Roman"/>
        </w:rPr>
        <w:t>where Sampson will be placed</w:t>
      </w:r>
      <w:r w:rsidR="00DD7DBB">
        <w:rPr>
          <w:rFonts w:cs="Times New Roman"/>
        </w:rPr>
        <w:t xml:space="preserve"> following his retirement</w:t>
      </w:r>
      <w:r w:rsidR="00CE3260">
        <w:rPr>
          <w:rFonts w:cs="Times New Roman"/>
        </w:rPr>
        <w:t xml:space="preserve">, </w:t>
      </w:r>
      <w:r w:rsidR="001405CB">
        <w:rPr>
          <w:rFonts w:cs="Times New Roman"/>
        </w:rPr>
        <w:t xml:space="preserve">operators have reportedly retired </w:t>
      </w:r>
      <w:r w:rsidR="00CA7179">
        <w:rPr>
          <w:rFonts w:cs="Times New Roman"/>
        </w:rPr>
        <w:t xml:space="preserve">other </w:t>
      </w:r>
      <w:r w:rsidR="00CE3260">
        <w:rPr>
          <w:rFonts w:cs="Times New Roman"/>
        </w:rPr>
        <w:t xml:space="preserve">carriage horses </w:t>
      </w:r>
      <w:r w:rsidR="001405CB">
        <w:rPr>
          <w:rFonts w:cs="Times New Roman"/>
        </w:rPr>
        <w:t xml:space="preserve">into roles as </w:t>
      </w:r>
      <w:r w:rsidR="001405CB" w:rsidRPr="001405CB">
        <w:rPr>
          <w:rFonts w:cs="Times New Roman"/>
        </w:rPr>
        <w:lastRenderedPageBreak/>
        <w:t>part-time wedding carriage horses, pleasure</w:t>
      </w:r>
      <w:r w:rsidR="00F8190F">
        <w:rPr>
          <w:rFonts w:cs="Times New Roman"/>
        </w:rPr>
        <w:t xml:space="preserve"> </w:t>
      </w:r>
      <w:r w:rsidR="001405CB" w:rsidRPr="001405CB">
        <w:rPr>
          <w:rFonts w:cs="Times New Roman"/>
        </w:rPr>
        <w:t xml:space="preserve">riding horses, </w:t>
      </w:r>
      <w:r w:rsidR="001405CB">
        <w:rPr>
          <w:rFonts w:cs="Times New Roman"/>
        </w:rPr>
        <w:t xml:space="preserve">and </w:t>
      </w:r>
      <w:r w:rsidR="001405CB" w:rsidRPr="001405CB">
        <w:rPr>
          <w:rFonts w:cs="Times New Roman"/>
        </w:rPr>
        <w:t>therapeutic riding horses</w:t>
      </w:r>
      <w:r w:rsidR="001405CB">
        <w:rPr>
          <w:rFonts w:cs="Times New Roman"/>
        </w:rPr>
        <w:t xml:space="preserve"> living on private farms and sanctuaries</w:t>
      </w:r>
      <w:r w:rsidR="00CE3260">
        <w:rPr>
          <w:rFonts w:cs="Times New Roman"/>
        </w:rPr>
        <w:t>.</w:t>
      </w:r>
      <w:r w:rsidR="001405CB">
        <w:rPr>
          <w:rStyle w:val="FootnoteReference"/>
          <w:rFonts w:cs="Times New Roman"/>
        </w:rPr>
        <w:footnoteReference w:id="41"/>
      </w:r>
      <w:r w:rsidRPr="004D7935">
        <w:rPr>
          <w:rFonts w:cs="Times New Roman"/>
        </w:rPr>
        <w:t xml:space="preserve"> </w:t>
      </w:r>
    </w:p>
    <w:p w14:paraId="2956488D" w14:textId="4CA7143B" w:rsidR="00A95410" w:rsidRDefault="00022730" w:rsidP="00933352">
      <w:pPr>
        <w:spacing w:after="0" w:line="480" w:lineRule="auto"/>
        <w:ind w:firstLine="720"/>
        <w:rPr>
          <w:rFonts w:cs="Times New Roman"/>
        </w:rPr>
      </w:pPr>
      <w:r>
        <w:rPr>
          <w:rFonts w:cs="Times New Roman"/>
        </w:rPr>
        <w:t>Following th</w:t>
      </w:r>
      <w:r w:rsidR="00D64233">
        <w:rPr>
          <w:rFonts w:cs="Times New Roman"/>
        </w:rPr>
        <w:t>is</w:t>
      </w:r>
      <w:r>
        <w:rPr>
          <w:rFonts w:cs="Times New Roman"/>
        </w:rPr>
        <w:t xml:space="preserve"> incident, </w:t>
      </w:r>
      <w:r w:rsidR="006A26BE" w:rsidRPr="004D7935">
        <w:rPr>
          <w:rFonts w:cs="Times New Roman"/>
        </w:rPr>
        <w:t xml:space="preserve">TWU </w:t>
      </w:r>
      <w:r w:rsidR="009A5ABA">
        <w:rPr>
          <w:rFonts w:cs="Times New Roman"/>
        </w:rPr>
        <w:t>Local 100</w:t>
      </w:r>
      <w:r w:rsidR="00CA7179">
        <w:rPr>
          <w:rFonts w:cs="Times New Roman"/>
        </w:rPr>
        <w:t xml:space="preserve"> administrative vice president Alexander Kemp</w:t>
      </w:r>
      <w:r w:rsidR="009A5ABA">
        <w:rPr>
          <w:rFonts w:cs="Times New Roman"/>
        </w:rPr>
        <w:t xml:space="preserve"> </w:t>
      </w:r>
      <w:r w:rsidR="00F8190F">
        <w:rPr>
          <w:rFonts w:cs="Times New Roman"/>
        </w:rPr>
        <w:t xml:space="preserve">announced </w:t>
      </w:r>
      <w:r w:rsidR="006A26BE" w:rsidRPr="004D7935">
        <w:rPr>
          <w:rFonts w:cs="Times New Roman"/>
        </w:rPr>
        <w:t xml:space="preserve">a “six-day voluntary safety shutdown” </w:t>
      </w:r>
      <w:r w:rsidR="004E5B27">
        <w:rPr>
          <w:rFonts w:cs="Times New Roman"/>
        </w:rPr>
        <w:t>of carriage rides</w:t>
      </w:r>
      <w:r w:rsidR="00CA7179">
        <w:rPr>
          <w:rFonts w:cs="Times New Roman"/>
        </w:rPr>
        <w:t xml:space="preserve">, </w:t>
      </w:r>
      <w:r w:rsidR="00407D87">
        <w:rPr>
          <w:rFonts w:cs="Times New Roman"/>
        </w:rPr>
        <w:t xml:space="preserve">with TWU </w:t>
      </w:r>
      <w:r w:rsidR="00CA7179">
        <w:rPr>
          <w:rFonts w:cs="Times New Roman"/>
        </w:rPr>
        <w:t>conduct</w:t>
      </w:r>
      <w:r w:rsidR="00407D87">
        <w:rPr>
          <w:rFonts w:cs="Times New Roman"/>
        </w:rPr>
        <w:t xml:space="preserve">ing </w:t>
      </w:r>
      <w:r w:rsidR="00CA7179">
        <w:rPr>
          <w:rFonts w:cs="Times New Roman"/>
        </w:rPr>
        <w:t>an internal safety review of carriage horse operations</w:t>
      </w:r>
      <w:r w:rsidR="00407D87">
        <w:rPr>
          <w:rFonts w:cs="Times New Roman"/>
        </w:rPr>
        <w:t xml:space="preserve"> and retraining</w:t>
      </w:r>
      <w:r w:rsidR="00407D87" w:rsidRPr="00407D87">
        <w:rPr>
          <w:rFonts w:cs="Times New Roman"/>
        </w:rPr>
        <w:t xml:space="preserve"> all carriage drivers on existing rules and protocols</w:t>
      </w:r>
      <w:r w:rsidR="004E5B27">
        <w:rPr>
          <w:rFonts w:cs="Times New Roman"/>
        </w:rPr>
        <w:t xml:space="preserve"> </w:t>
      </w:r>
      <w:r w:rsidR="006A26BE" w:rsidRPr="004D7935">
        <w:rPr>
          <w:rFonts w:cs="Times New Roman"/>
        </w:rPr>
        <w:t xml:space="preserve">before resuming </w:t>
      </w:r>
      <w:r w:rsidR="00407D87">
        <w:rPr>
          <w:rFonts w:cs="Times New Roman"/>
        </w:rPr>
        <w:t xml:space="preserve">carriage rides </w:t>
      </w:r>
      <w:r w:rsidR="006A26BE" w:rsidRPr="004D7935">
        <w:rPr>
          <w:rFonts w:cs="Times New Roman"/>
        </w:rPr>
        <w:t>on Tuesday, June 23, 2026.</w:t>
      </w:r>
      <w:r w:rsidR="006A26BE" w:rsidRPr="004D7935">
        <w:rPr>
          <w:rStyle w:val="FootnoteReference"/>
          <w:rFonts w:cs="Times New Roman"/>
        </w:rPr>
        <w:footnoteReference w:id="42"/>
      </w:r>
    </w:p>
    <w:p w14:paraId="31FF1E3E" w14:textId="2263A836" w:rsidR="00270610" w:rsidRDefault="00DE1EEE" w:rsidP="00933352">
      <w:pPr>
        <w:spacing w:after="0" w:line="480" w:lineRule="auto"/>
        <w:ind w:firstLine="720"/>
        <w:rPr>
          <w:rFonts w:cs="Times New Roman"/>
          <w:bCs/>
          <w:szCs w:val="24"/>
        </w:rPr>
      </w:pPr>
      <w:r>
        <w:rPr>
          <w:rFonts w:cs="Times New Roman"/>
        </w:rPr>
        <w:t>This</w:t>
      </w:r>
      <w:r w:rsidR="007D7479" w:rsidRPr="004D7935">
        <w:rPr>
          <w:rFonts w:cs="Times New Roman"/>
        </w:rPr>
        <w:t xml:space="preserve"> fatal incident occurred roughly one week after another high-profile incident.</w:t>
      </w:r>
      <w:r w:rsidR="008F5A7B">
        <w:rPr>
          <w:rStyle w:val="FootnoteReference"/>
          <w:rFonts w:cs="Times New Roman"/>
        </w:rPr>
        <w:footnoteReference w:id="43"/>
      </w:r>
      <w:r w:rsidR="007D7479" w:rsidRPr="004D7935">
        <w:rPr>
          <w:rFonts w:cs="Times New Roman"/>
        </w:rPr>
        <w:t xml:space="preserve"> On June 9, 2026, a 16-year-old carriage horse, named Deniz, collapsed and died in Central Park.</w:t>
      </w:r>
      <w:r w:rsidR="007D7479" w:rsidRPr="004D7935">
        <w:rPr>
          <w:rStyle w:val="FootnoteReference"/>
          <w:rFonts w:cs="Times New Roman"/>
        </w:rPr>
        <w:footnoteReference w:id="44"/>
      </w:r>
      <w:r w:rsidR="007D7479" w:rsidRPr="004D7935">
        <w:rPr>
          <w:rFonts w:cs="Times New Roman"/>
        </w:rPr>
        <w:t xml:space="preserve"> Following a necropsy, officials determined that the horse died after ingesting Japanese yew, a toxic plant that can cause cardiac arrest in horses and other animals.</w:t>
      </w:r>
      <w:r w:rsidR="007D7479" w:rsidRPr="004D7935">
        <w:rPr>
          <w:rStyle w:val="FootnoteReference"/>
          <w:rFonts w:cs="Times New Roman"/>
        </w:rPr>
        <w:footnoteReference w:id="45"/>
      </w:r>
      <w:r w:rsidR="007D7479" w:rsidRPr="004D7935">
        <w:rPr>
          <w:rFonts w:cs="Times New Roman"/>
        </w:rPr>
        <w:t xml:space="preserve"> </w:t>
      </w:r>
      <w:r>
        <w:rPr>
          <w:rFonts w:cs="Times New Roman"/>
        </w:rPr>
        <w:t>A</w:t>
      </w:r>
      <w:r w:rsidR="007D7479" w:rsidRPr="004D7935">
        <w:rPr>
          <w:rFonts w:cs="Times New Roman"/>
        </w:rPr>
        <w:t>t least seven other</w:t>
      </w:r>
      <w:r>
        <w:rPr>
          <w:rFonts w:cs="Times New Roman"/>
        </w:rPr>
        <w:t xml:space="preserve"> incidents</w:t>
      </w:r>
      <w:r w:rsidR="007D7479" w:rsidRPr="004D7935">
        <w:rPr>
          <w:rFonts w:cs="Times New Roman"/>
        </w:rPr>
        <w:t xml:space="preserve"> </w:t>
      </w:r>
      <w:r>
        <w:rPr>
          <w:rFonts w:cs="Times New Roman"/>
        </w:rPr>
        <w:t>involving carriage horses</w:t>
      </w:r>
      <w:r w:rsidR="007D7479" w:rsidRPr="004D7935">
        <w:rPr>
          <w:rFonts w:cs="Times New Roman"/>
        </w:rPr>
        <w:t xml:space="preserve"> have occurred over the last 13 months, including one incident in which a horse broke loose, ran into traffic, and damaged several</w:t>
      </w:r>
      <w:r>
        <w:rPr>
          <w:rFonts w:cs="Times New Roman"/>
        </w:rPr>
        <w:t xml:space="preserve"> </w:t>
      </w:r>
      <w:r w:rsidR="007D7479" w:rsidRPr="004D7935">
        <w:rPr>
          <w:rFonts w:cs="Times New Roman"/>
        </w:rPr>
        <w:t>cars.</w:t>
      </w:r>
      <w:r w:rsidR="007D7479" w:rsidRPr="004D7935">
        <w:rPr>
          <w:rStyle w:val="FootnoteReference"/>
          <w:rFonts w:cs="Times New Roman"/>
        </w:rPr>
        <w:footnoteReference w:id="46"/>
      </w:r>
      <w:r w:rsidR="007D7479" w:rsidRPr="004D7935">
        <w:rPr>
          <w:rFonts w:cs="Times New Roman"/>
        </w:rPr>
        <w:t xml:space="preserve"> Another high-profile incident occurred </w:t>
      </w:r>
      <w:r w:rsidR="007700E2">
        <w:rPr>
          <w:rFonts w:cs="Times New Roman"/>
        </w:rPr>
        <w:t>o</w:t>
      </w:r>
      <w:r w:rsidR="007D7479" w:rsidRPr="004D7935">
        <w:rPr>
          <w:rFonts w:cs="Times New Roman"/>
        </w:rPr>
        <w:t xml:space="preserve">n August 5, 2025, when a working horse named </w:t>
      </w:r>
      <w:r>
        <w:rPr>
          <w:rFonts w:cs="Times New Roman"/>
        </w:rPr>
        <w:t>L</w:t>
      </w:r>
      <w:r w:rsidR="007D7479" w:rsidRPr="004D7935">
        <w:rPr>
          <w:rFonts w:cs="Times New Roman"/>
        </w:rPr>
        <w:t>ady collapsed and died in Hell’s Kitchen</w:t>
      </w:r>
      <w:r w:rsidR="00856416">
        <w:rPr>
          <w:rFonts w:cs="Times New Roman"/>
        </w:rPr>
        <w:t xml:space="preserve"> while walking to her stable from Central Park</w:t>
      </w:r>
      <w:r w:rsidR="007D7479" w:rsidRPr="004D7935">
        <w:rPr>
          <w:rFonts w:cs="Times New Roman"/>
        </w:rPr>
        <w:t>.</w:t>
      </w:r>
      <w:r w:rsidR="007D7479" w:rsidRPr="004D7935">
        <w:rPr>
          <w:rStyle w:val="FootnoteReference"/>
          <w:rFonts w:cs="Times New Roman"/>
        </w:rPr>
        <w:footnoteReference w:id="47"/>
      </w:r>
      <w:r w:rsidR="00856416">
        <w:rPr>
          <w:rFonts w:cs="Times New Roman"/>
        </w:rPr>
        <w:t xml:space="preserve"> On August 8, TWU reported that </w:t>
      </w:r>
      <w:r w:rsidR="00856416">
        <w:rPr>
          <w:rFonts w:cs="Times New Roman"/>
        </w:rPr>
        <w:lastRenderedPageBreak/>
        <w:t xml:space="preserve">a necropsy conducted at </w:t>
      </w:r>
      <w:r w:rsidR="00856416" w:rsidRPr="00856416">
        <w:rPr>
          <w:rFonts w:cs="Times New Roman"/>
        </w:rPr>
        <w:t>Cornell University Coll</w:t>
      </w:r>
      <w:r w:rsidR="00856416">
        <w:rPr>
          <w:rFonts w:cs="Times New Roman"/>
        </w:rPr>
        <w:t>e</w:t>
      </w:r>
      <w:r w:rsidR="00856416" w:rsidRPr="00856416">
        <w:rPr>
          <w:rFonts w:cs="Times New Roman"/>
        </w:rPr>
        <w:t>ge of Veterinary Medicine</w:t>
      </w:r>
      <w:r w:rsidR="00856416">
        <w:rPr>
          <w:rFonts w:cs="Times New Roman"/>
        </w:rPr>
        <w:t xml:space="preserve"> found that Lady died from “</w:t>
      </w:r>
      <w:r w:rsidR="00856416" w:rsidRPr="00856416">
        <w:rPr>
          <w:rFonts w:cs="Times New Roman"/>
        </w:rPr>
        <w:t>an aortic rupture likely caused by a small tumor in her adrenal gland</w:t>
      </w:r>
      <w:r w:rsidR="00856416">
        <w:rPr>
          <w:rFonts w:cs="Times New Roman"/>
        </w:rPr>
        <w:t>.”</w:t>
      </w:r>
      <w:r w:rsidR="00856416">
        <w:rPr>
          <w:rStyle w:val="FootnoteReference"/>
          <w:rFonts w:cs="Times New Roman"/>
        </w:rPr>
        <w:footnoteReference w:id="48"/>
      </w:r>
    </w:p>
    <w:p w14:paraId="33416ED2" w14:textId="5D178D7A" w:rsidR="00F67786" w:rsidRDefault="004A311D" w:rsidP="00933352">
      <w:pPr>
        <w:spacing w:after="0" w:line="480" w:lineRule="auto"/>
        <w:rPr>
          <w:rFonts w:cs="Times New Roman"/>
        </w:rPr>
      </w:pPr>
      <w:r>
        <w:rPr>
          <w:rFonts w:cs="Times New Roman"/>
          <w:bCs/>
          <w:szCs w:val="24"/>
        </w:rPr>
        <w:tab/>
      </w:r>
      <w:r w:rsidR="00470E59" w:rsidRPr="00470E59">
        <w:rPr>
          <w:rFonts w:cs="Times New Roman"/>
          <w:bCs/>
          <w:szCs w:val="24"/>
        </w:rPr>
        <w:t xml:space="preserve">In addition to concerns regarding horse welfare, </w:t>
      </w:r>
      <w:r w:rsidR="008D618A">
        <w:rPr>
          <w:rFonts w:cs="Times New Roman"/>
          <w:bCs/>
          <w:szCs w:val="24"/>
        </w:rPr>
        <w:t xml:space="preserve">advocates have argued that </w:t>
      </w:r>
      <w:r w:rsidR="00470E59" w:rsidRPr="00470E59">
        <w:rPr>
          <w:rFonts w:cs="Times New Roman"/>
          <w:bCs/>
          <w:szCs w:val="24"/>
        </w:rPr>
        <w:t>the horse-drawn carriage industry raise</w:t>
      </w:r>
      <w:r w:rsidR="008D618A">
        <w:rPr>
          <w:rFonts w:cs="Times New Roman"/>
          <w:bCs/>
          <w:szCs w:val="24"/>
        </w:rPr>
        <w:t>s</w:t>
      </w:r>
      <w:r w:rsidR="00470E59" w:rsidRPr="00470E59">
        <w:rPr>
          <w:rFonts w:cs="Times New Roman"/>
          <w:bCs/>
          <w:szCs w:val="24"/>
        </w:rPr>
        <w:t xml:space="preserve"> broader questions regarding public safety and the use of public space.</w:t>
      </w:r>
      <w:r w:rsidR="006874E7">
        <w:rPr>
          <w:rStyle w:val="FootnoteReference"/>
          <w:rFonts w:cs="Times New Roman"/>
          <w:bCs/>
          <w:szCs w:val="24"/>
        </w:rPr>
        <w:footnoteReference w:id="49"/>
      </w:r>
      <w:r w:rsidR="00470E59" w:rsidRPr="00470E59">
        <w:rPr>
          <w:rFonts w:cs="Times New Roman"/>
          <w:bCs/>
          <w:szCs w:val="24"/>
        </w:rPr>
        <w:t xml:space="preserve"> Central Park </w:t>
      </w:r>
      <w:r w:rsidR="00512088">
        <w:rPr>
          <w:rFonts w:cs="Times New Roman"/>
          <w:bCs/>
          <w:szCs w:val="24"/>
        </w:rPr>
        <w:t xml:space="preserve">receives 40 million visitors annually, </w:t>
      </w:r>
      <w:r w:rsidR="00470E59" w:rsidRPr="00470E59">
        <w:rPr>
          <w:rFonts w:cs="Times New Roman"/>
          <w:bCs/>
          <w:szCs w:val="24"/>
        </w:rPr>
        <w:t xml:space="preserve">and its </w:t>
      </w:r>
      <w:r w:rsidR="00512088">
        <w:rPr>
          <w:rFonts w:cs="Times New Roman"/>
          <w:bCs/>
          <w:szCs w:val="24"/>
        </w:rPr>
        <w:t>streets</w:t>
      </w:r>
      <w:r w:rsidR="00470E59" w:rsidRPr="00470E59">
        <w:rPr>
          <w:rFonts w:cs="Times New Roman"/>
          <w:bCs/>
          <w:szCs w:val="24"/>
        </w:rPr>
        <w:t xml:space="preserve"> are increasingly shared by pedestrians, cyclists, runners, strollers, and other park users.</w:t>
      </w:r>
      <w:r w:rsidR="008514E1">
        <w:rPr>
          <w:rStyle w:val="FootnoteReference"/>
          <w:rFonts w:cs="Times New Roman"/>
          <w:bCs/>
          <w:szCs w:val="24"/>
        </w:rPr>
        <w:footnoteReference w:id="50"/>
      </w:r>
      <w:r w:rsidR="00470E59" w:rsidRPr="00470E59">
        <w:rPr>
          <w:rFonts w:cs="Times New Roman"/>
          <w:bCs/>
          <w:szCs w:val="24"/>
        </w:rPr>
        <w:t xml:space="preserve"> The Central Park Conservancy</w:t>
      </w:r>
      <w:r w:rsidR="0019621F">
        <w:rPr>
          <w:rFonts w:cs="Times New Roman"/>
          <w:bCs/>
          <w:szCs w:val="24"/>
        </w:rPr>
        <w:t>,</w:t>
      </w:r>
      <w:r w:rsidR="001E24AB">
        <w:rPr>
          <w:rFonts w:cs="Times New Roman"/>
          <w:bCs/>
          <w:szCs w:val="24"/>
        </w:rPr>
        <w:t xml:space="preserve"> whose mission is to </w:t>
      </w:r>
      <w:r w:rsidR="00723803">
        <w:rPr>
          <w:rFonts w:cs="Times New Roman"/>
          <w:bCs/>
          <w:szCs w:val="24"/>
        </w:rPr>
        <w:t xml:space="preserve">maintain and </w:t>
      </w:r>
      <w:r w:rsidR="001E24AB">
        <w:rPr>
          <w:rFonts w:cs="Times New Roman"/>
          <w:bCs/>
          <w:szCs w:val="24"/>
        </w:rPr>
        <w:t>preserve th</w:t>
      </w:r>
      <w:r w:rsidR="00793AFD">
        <w:rPr>
          <w:rFonts w:cs="Times New Roman"/>
          <w:bCs/>
          <w:szCs w:val="24"/>
        </w:rPr>
        <w:t>e</w:t>
      </w:r>
      <w:r w:rsidR="00CE1C3B">
        <w:rPr>
          <w:rFonts w:cs="Times New Roman"/>
          <w:bCs/>
          <w:szCs w:val="24"/>
        </w:rPr>
        <w:t xml:space="preserve"> Park, </w:t>
      </w:r>
      <w:r w:rsidR="00DE1EEE">
        <w:rPr>
          <w:rFonts w:cs="Times New Roman"/>
          <w:bCs/>
          <w:szCs w:val="24"/>
        </w:rPr>
        <w:t>has argued</w:t>
      </w:r>
      <w:r w:rsidR="00470E59" w:rsidRPr="00470E59">
        <w:rPr>
          <w:rFonts w:cs="Times New Roman"/>
          <w:bCs/>
          <w:szCs w:val="24"/>
        </w:rPr>
        <w:t xml:space="preserve"> that operating horse-drawn carriages </w:t>
      </w:r>
      <w:r w:rsidR="00DE1EEE">
        <w:rPr>
          <w:rFonts w:cs="Times New Roman"/>
          <w:bCs/>
          <w:szCs w:val="24"/>
        </w:rPr>
        <w:t>in a crowded environment</w:t>
      </w:r>
      <w:r w:rsidR="00470E59" w:rsidRPr="00470E59">
        <w:rPr>
          <w:rFonts w:cs="Times New Roman"/>
          <w:bCs/>
          <w:szCs w:val="24"/>
        </w:rPr>
        <w:t xml:space="preserve"> presents a public safety risk, particularly when horses break free from their handlers and run uncontrolled through the </w:t>
      </w:r>
      <w:r w:rsidR="00DE1EEE">
        <w:rPr>
          <w:rFonts w:cs="Times New Roman"/>
          <w:bCs/>
          <w:szCs w:val="24"/>
        </w:rPr>
        <w:t>pa</w:t>
      </w:r>
      <w:r w:rsidR="00470E59" w:rsidRPr="00470E59">
        <w:rPr>
          <w:rFonts w:cs="Times New Roman"/>
          <w:bCs/>
          <w:szCs w:val="24"/>
        </w:rPr>
        <w:t>rk.</w:t>
      </w:r>
      <w:r w:rsidR="00F35226">
        <w:rPr>
          <w:rStyle w:val="FootnoteReference"/>
          <w:rFonts w:cs="Times New Roman"/>
          <w:bCs/>
          <w:szCs w:val="24"/>
        </w:rPr>
        <w:footnoteReference w:id="51"/>
      </w:r>
      <w:r w:rsidR="00470E59" w:rsidRPr="00470E59">
        <w:rPr>
          <w:rFonts w:cs="Times New Roman"/>
          <w:bCs/>
          <w:szCs w:val="24"/>
        </w:rPr>
        <w:t xml:space="preserve"> The Conservancy has also raised concerns regarding the industry's impact on park infrastructure, noting that heavy carriages and horses' steel horseshoes have degraded newly repaved asphalt and striping along the Park's </w:t>
      </w:r>
      <w:r w:rsidR="008D33F4">
        <w:rPr>
          <w:rFonts w:cs="Times New Roman"/>
          <w:bCs/>
          <w:szCs w:val="24"/>
        </w:rPr>
        <w:t>streets</w:t>
      </w:r>
      <w:r w:rsidR="00470E59" w:rsidRPr="00470E59">
        <w:rPr>
          <w:rFonts w:cs="Times New Roman"/>
          <w:bCs/>
          <w:szCs w:val="24"/>
        </w:rPr>
        <w:t>.</w:t>
      </w:r>
      <w:r w:rsidR="00F35226">
        <w:rPr>
          <w:rStyle w:val="FootnoteReference"/>
          <w:rFonts w:cs="Times New Roman"/>
          <w:bCs/>
          <w:szCs w:val="24"/>
        </w:rPr>
        <w:footnoteReference w:id="52"/>
      </w:r>
      <w:r w:rsidR="00470E59" w:rsidRPr="00470E59">
        <w:rPr>
          <w:rFonts w:cs="Times New Roman"/>
          <w:bCs/>
          <w:szCs w:val="24"/>
        </w:rPr>
        <w:t xml:space="preserve"> </w:t>
      </w:r>
    </w:p>
    <w:p w14:paraId="07DFBF7C" w14:textId="6F9ACD67" w:rsidR="00C628B4" w:rsidRPr="0076148D" w:rsidRDefault="0076148D" w:rsidP="0076148D">
      <w:pPr>
        <w:pStyle w:val="ListParagraph"/>
        <w:numPr>
          <w:ilvl w:val="2"/>
          <w:numId w:val="3"/>
        </w:numPr>
        <w:spacing w:after="0" w:line="480" w:lineRule="auto"/>
        <w:rPr>
          <w:rFonts w:cs="Times New Roman"/>
          <w:b/>
          <w:bCs/>
        </w:rPr>
      </w:pPr>
      <w:r>
        <w:rPr>
          <w:rFonts w:cs="Times New Roman"/>
          <w:b/>
          <w:bCs/>
        </w:rPr>
        <w:t xml:space="preserve">Legislative Action in </w:t>
      </w:r>
      <w:r w:rsidR="00C628B4">
        <w:rPr>
          <w:rFonts w:cs="Times New Roman"/>
          <w:b/>
          <w:bCs/>
        </w:rPr>
        <w:t>Other Jurisdictions</w:t>
      </w:r>
    </w:p>
    <w:p w14:paraId="15F1FF3A" w14:textId="3255F691" w:rsidR="004A311D" w:rsidRDefault="004146B9" w:rsidP="00933352">
      <w:pPr>
        <w:spacing w:after="0" w:line="480" w:lineRule="auto"/>
        <w:ind w:firstLine="720"/>
      </w:pPr>
      <w:r w:rsidRPr="004146B9">
        <w:rPr>
          <w:rFonts w:cs="Times New Roman"/>
        </w:rPr>
        <w:t xml:space="preserve">Twelve U.S. towns and municipalities have </w:t>
      </w:r>
      <w:r w:rsidR="00B9236C" w:rsidRPr="004146B9">
        <w:rPr>
          <w:rFonts w:cs="Times New Roman"/>
        </w:rPr>
        <w:t xml:space="preserve">formally </w:t>
      </w:r>
      <w:r w:rsidRPr="004146B9">
        <w:rPr>
          <w:rFonts w:cs="Times New Roman"/>
        </w:rPr>
        <w:t>banned or phased out horse-drawn carriag</w:t>
      </w:r>
      <w:r w:rsidR="00C94D9C">
        <w:rPr>
          <w:rFonts w:cs="Times New Roman"/>
        </w:rPr>
        <w:t>es</w:t>
      </w:r>
      <w:r w:rsidRPr="004146B9">
        <w:rPr>
          <w:rFonts w:cs="Times New Roman"/>
        </w:rPr>
        <w:t>, including Salt Lake City, Utah; Biloxi, Mississippi; and Breckenridge, Colorado</w:t>
      </w:r>
      <w:r w:rsidR="00BC66D7">
        <w:rPr>
          <w:rFonts w:cs="Times New Roman"/>
        </w:rPr>
        <w:t>.</w:t>
      </w:r>
      <w:r w:rsidR="00A77EFA">
        <w:rPr>
          <w:rStyle w:val="FootnoteReference"/>
          <w:rFonts w:cs="Times New Roman"/>
        </w:rPr>
        <w:footnoteReference w:id="53"/>
      </w:r>
      <w:r w:rsidR="00BC66D7">
        <w:rPr>
          <w:rFonts w:cs="Times New Roman"/>
        </w:rPr>
        <w:t xml:space="preserve"> </w:t>
      </w:r>
      <w:r w:rsidR="00CF516F">
        <w:rPr>
          <w:rFonts w:cs="Times New Roman"/>
        </w:rPr>
        <w:t xml:space="preserve">Other jurisdictions that have </w:t>
      </w:r>
      <w:r w:rsidR="006A3BB3">
        <w:rPr>
          <w:rFonts w:cs="Times New Roman"/>
        </w:rPr>
        <w:t xml:space="preserve">banned the industry include </w:t>
      </w:r>
      <w:r w:rsidR="00BC66D7">
        <w:rPr>
          <w:rFonts w:cs="Times New Roman"/>
        </w:rPr>
        <w:t>Chicago</w:t>
      </w:r>
      <w:r w:rsidR="00DD2025">
        <w:rPr>
          <w:rFonts w:cs="Times New Roman"/>
        </w:rPr>
        <w:t>, Illinois</w:t>
      </w:r>
      <w:r w:rsidR="00D64233">
        <w:rPr>
          <w:rFonts w:cs="Times New Roman"/>
        </w:rPr>
        <w:t>,</w:t>
      </w:r>
      <w:r w:rsidR="00394D68">
        <w:rPr>
          <w:rFonts w:cs="Times New Roman"/>
        </w:rPr>
        <w:t xml:space="preserve"> where th</w:t>
      </w:r>
      <w:r w:rsidR="00D64233">
        <w:rPr>
          <w:rFonts w:cs="Times New Roman"/>
        </w:rPr>
        <w:t>at</w:t>
      </w:r>
      <w:r w:rsidR="00DD2025">
        <w:rPr>
          <w:rFonts w:cs="Times New Roman"/>
        </w:rPr>
        <w:t xml:space="preserve"> </w:t>
      </w:r>
      <w:r w:rsidR="343ACA1B" w:rsidRPr="343ACA1B">
        <w:rPr>
          <w:rFonts w:cs="Times New Roman"/>
        </w:rPr>
        <w:t xml:space="preserve">City </w:t>
      </w:r>
      <w:r w:rsidR="343ACA1B" w:rsidRPr="343ACA1B">
        <w:rPr>
          <w:rFonts w:cs="Times New Roman"/>
        </w:rPr>
        <w:lastRenderedPageBreak/>
        <w:t>Council enact</w:t>
      </w:r>
      <w:r w:rsidR="00F546FE">
        <w:rPr>
          <w:rFonts w:cs="Times New Roman"/>
        </w:rPr>
        <w:t>ed</w:t>
      </w:r>
      <w:r w:rsidR="343ACA1B" w:rsidRPr="343ACA1B">
        <w:rPr>
          <w:rFonts w:cs="Times New Roman"/>
        </w:rPr>
        <w:t xml:space="preserve"> a </w:t>
      </w:r>
      <w:r w:rsidR="00CD3832">
        <w:rPr>
          <w:rFonts w:cs="Times New Roman"/>
        </w:rPr>
        <w:t xml:space="preserve">sunset of the city’s </w:t>
      </w:r>
      <w:r w:rsidR="0066686B">
        <w:rPr>
          <w:rFonts w:cs="Times New Roman"/>
        </w:rPr>
        <w:t>horse</w:t>
      </w:r>
      <w:r w:rsidR="009B3FE1">
        <w:rPr>
          <w:rFonts w:cs="Times New Roman"/>
        </w:rPr>
        <w:t>-</w:t>
      </w:r>
      <w:r w:rsidR="0066686B">
        <w:rPr>
          <w:rFonts w:cs="Times New Roman"/>
        </w:rPr>
        <w:t xml:space="preserve">drawn carriage </w:t>
      </w:r>
      <w:r w:rsidR="343ACA1B" w:rsidRPr="343ACA1B">
        <w:rPr>
          <w:rFonts w:cs="Times New Roman"/>
        </w:rPr>
        <w:t xml:space="preserve">licensing </w:t>
      </w:r>
      <w:r w:rsidR="0066686B">
        <w:rPr>
          <w:rFonts w:cs="Times New Roman"/>
        </w:rPr>
        <w:t>program</w:t>
      </w:r>
      <w:r w:rsidR="00DD7E53">
        <w:rPr>
          <w:rFonts w:cs="Times New Roman"/>
        </w:rPr>
        <w:t xml:space="preserve"> in 2020</w:t>
      </w:r>
      <w:r w:rsidR="343ACA1B" w:rsidRPr="343ACA1B">
        <w:rPr>
          <w:rFonts w:cs="Times New Roman"/>
        </w:rPr>
        <w:t>.</w:t>
      </w:r>
      <w:r w:rsidR="004A311D" w:rsidRPr="343ACA1B">
        <w:rPr>
          <w:rStyle w:val="FootnoteReference"/>
          <w:rFonts w:cs="Times New Roman"/>
        </w:rPr>
        <w:footnoteReference w:id="54"/>
      </w:r>
      <w:r w:rsidR="343ACA1B" w:rsidRPr="343ACA1B">
        <w:rPr>
          <w:rFonts w:cs="Times New Roman"/>
        </w:rPr>
        <w:t xml:space="preserve"> Under the new</w:t>
      </w:r>
      <w:r w:rsidR="003B58AF">
        <w:rPr>
          <w:rFonts w:cs="Times New Roman"/>
        </w:rPr>
        <w:t xml:space="preserve"> Chicago</w:t>
      </w:r>
      <w:r w:rsidR="343ACA1B" w:rsidRPr="343ACA1B">
        <w:rPr>
          <w:rFonts w:cs="Times New Roman"/>
        </w:rPr>
        <w:t xml:space="preserve"> law, all remaining carriage licenses expired on January 1, 2021, and no new licenses were issued </w:t>
      </w:r>
      <w:r w:rsidR="00510988">
        <w:rPr>
          <w:rFonts w:cs="Times New Roman"/>
        </w:rPr>
        <w:t>thereafter</w:t>
      </w:r>
      <w:r w:rsidR="343ACA1B" w:rsidRPr="343ACA1B">
        <w:rPr>
          <w:rFonts w:cs="Times New Roman"/>
        </w:rPr>
        <w:t>.</w:t>
      </w:r>
      <w:r w:rsidR="004A311D" w:rsidRPr="343ACA1B">
        <w:rPr>
          <w:rStyle w:val="FootnoteReference"/>
          <w:rFonts w:cs="Times New Roman"/>
        </w:rPr>
        <w:footnoteReference w:id="55"/>
      </w:r>
      <w:r w:rsidR="343ACA1B" w:rsidRPr="343ACA1B">
        <w:rPr>
          <w:rFonts w:cs="Times New Roman"/>
        </w:rPr>
        <w:t xml:space="preserve"> </w:t>
      </w:r>
      <w:r w:rsidR="00510988">
        <w:rPr>
          <w:rFonts w:cs="Times New Roman"/>
        </w:rPr>
        <w:t xml:space="preserve">At the time, there </w:t>
      </w:r>
      <w:r w:rsidR="0000236E">
        <w:rPr>
          <w:rFonts w:cs="Times New Roman"/>
        </w:rPr>
        <w:t xml:space="preserve">were </w:t>
      </w:r>
      <w:r w:rsidR="00510988">
        <w:rPr>
          <w:rFonts w:cs="Times New Roman"/>
        </w:rPr>
        <w:t>concerns</w:t>
      </w:r>
      <w:r w:rsidR="0000236E">
        <w:rPr>
          <w:rFonts w:cs="Times New Roman"/>
        </w:rPr>
        <w:t xml:space="preserve"> regarding</w:t>
      </w:r>
      <w:r w:rsidR="343ACA1B" w:rsidRPr="343ACA1B">
        <w:rPr>
          <w:rFonts w:cs="Times New Roman"/>
        </w:rPr>
        <w:t xml:space="preserve"> the </w:t>
      </w:r>
      <w:r w:rsidR="0000236E">
        <w:rPr>
          <w:rFonts w:cs="Times New Roman"/>
        </w:rPr>
        <w:t>future</w:t>
      </w:r>
      <w:r w:rsidR="0000236E" w:rsidRPr="343ACA1B">
        <w:rPr>
          <w:rFonts w:cs="Times New Roman"/>
        </w:rPr>
        <w:t xml:space="preserve"> </w:t>
      </w:r>
      <w:r w:rsidR="343ACA1B" w:rsidRPr="343ACA1B">
        <w:rPr>
          <w:rFonts w:cs="Times New Roman"/>
        </w:rPr>
        <w:t xml:space="preserve">of the horses and carriage operators, as horse sanctuaries were </w:t>
      </w:r>
      <w:r w:rsidR="00F42DF4">
        <w:rPr>
          <w:rFonts w:cs="Times New Roman"/>
        </w:rPr>
        <w:t>limited</w:t>
      </w:r>
      <w:r w:rsidR="00F42DF4" w:rsidRPr="343ACA1B">
        <w:rPr>
          <w:rFonts w:cs="Times New Roman"/>
        </w:rPr>
        <w:t xml:space="preserve"> </w:t>
      </w:r>
      <w:r w:rsidR="343ACA1B" w:rsidRPr="343ACA1B">
        <w:rPr>
          <w:rFonts w:cs="Times New Roman"/>
        </w:rPr>
        <w:t xml:space="preserve">and carriage operators faced </w:t>
      </w:r>
      <w:r w:rsidR="00F42DF4">
        <w:rPr>
          <w:rFonts w:cs="Times New Roman"/>
        </w:rPr>
        <w:t xml:space="preserve">the prospect of </w:t>
      </w:r>
      <w:r w:rsidR="343ACA1B" w:rsidRPr="343ACA1B">
        <w:rPr>
          <w:rFonts w:cs="Times New Roman"/>
        </w:rPr>
        <w:t>unemployment.</w:t>
      </w:r>
      <w:r w:rsidR="004A311D" w:rsidRPr="343ACA1B">
        <w:rPr>
          <w:rStyle w:val="FootnoteReference"/>
          <w:rFonts w:cs="Times New Roman"/>
        </w:rPr>
        <w:footnoteReference w:id="56"/>
      </w:r>
      <w:r w:rsidR="000847F2">
        <w:rPr>
          <w:rFonts w:cs="Times New Roman"/>
        </w:rPr>
        <w:t xml:space="preserve"> </w:t>
      </w:r>
      <w:r w:rsidR="00C8055C">
        <w:rPr>
          <w:rFonts w:cs="Times New Roman"/>
        </w:rPr>
        <w:t>However, t</w:t>
      </w:r>
      <w:r w:rsidR="001F1526">
        <w:rPr>
          <w:rFonts w:cs="Times New Roman"/>
        </w:rPr>
        <w:t xml:space="preserve">here were only 10 existing carriage licenses </w:t>
      </w:r>
      <w:r w:rsidR="00262BD8">
        <w:rPr>
          <w:rFonts w:cs="Times New Roman"/>
        </w:rPr>
        <w:t xml:space="preserve">in </w:t>
      </w:r>
      <w:r w:rsidR="00963D54">
        <w:rPr>
          <w:rFonts w:cs="Times New Roman"/>
        </w:rPr>
        <w:t>Chicago</w:t>
      </w:r>
      <w:r w:rsidR="00262BD8">
        <w:rPr>
          <w:rFonts w:cs="Times New Roman"/>
        </w:rPr>
        <w:t xml:space="preserve"> </w:t>
      </w:r>
      <w:r w:rsidR="001F1526">
        <w:rPr>
          <w:rFonts w:cs="Times New Roman"/>
        </w:rPr>
        <w:t>when the ban went into effect</w:t>
      </w:r>
      <w:r w:rsidR="00AA6D45">
        <w:rPr>
          <w:rFonts w:cs="Times New Roman"/>
        </w:rPr>
        <w:t>.</w:t>
      </w:r>
      <w:r w:rsidR="00AA6D45">
        <w:rPr>
          <w:rStyle w:val="FootnoteReference"/>
          <w:rFonts w:cs="Times New Roman"/>
        </w:rPr>
        <w:footnoteReference w:id="57"/>
      </w:r>
    </w:p>
    <w:p w14:paraId="04C20DD1" w14:textId="5FFE1CA1" w:rsidR="00E37395" w:rsidRDefault="00DA7364" w:rsidP="00933352">
      <w:pPr>
        <w:spacing w:after="0" w:line="480" w:lineRule="auto"/>
        <w:ind w:firstLine="720"/>
      </w:pPr>
      <w:r>
        <w:rPr>
          <w:rFonts w:cs="Times New Roman"/>
        </w:rPr>
        <w:t>In Philadelphia,</w:t>
      </w:r>
      <w:r w:rsidR="00A03126">
        <w:rPr>
          <w:rFonts w:cs="Times New Roman"/>
        </w:rPr>
        <w:t xml:space="preserve"> Pennsylvania</w:t>
      </w:r>
      <w:r w:rsidR="00E86757">
        <w:rPr>
          <w:rFonts w:cs="Times New Roman"/>
        </w:rPr>
        <w:t>,</w:t>
      </w:r>
      <w:r>
        <w:rPr>
          <w:rFonts w:cs="Times New Roman"/>
        </w:rPr>
        <w:t xml:space="preserve"> </w:t>
      </w:r>
      <w:r w:rsidR="00806E59">
        <w:rPr>
          <w:rFonts w:cs="Times New Roman"/>
        </w:rPr>
        <w:t>t</w:t>
      </w:r>
      <w:r w:rsidR="00A2682F">
        <w:rPr>
          <w:rFonts w:cs="Times New Roman"/>
        </w:rPr>
        <w:t xml:space="preserve">he </w:t>
      </w:r>
      <w:r w:rsidR="343ACA1B" w:rsidRPr="343ACA1B">
        <w:rPr>
          <w:rFonts w:cs="Times New Roman"/>
        </w:rPr>
        <w:t>last commercial horse-drawn carriage operator shut down</w:t>
      </w:r>
      <w:r w:rsidR="00BC3717">
        <w:rPr>
          <w:rFonts w:cs="Times New Roman"/>
        </w:rPr>
        <w:t xml:space="preserve"> for </w:t>
      </w:r>
      <w:r w:rsidR="003E09DD">
        <w:rPr>
          <w:rFonts w:cs="Times New Roman"/>
        </w:rPr>
        <w:t>financial</w:t>
      </w:r>
      <w:r w:rsidR="00BC3717">
        <w:rPr>
          <w:rFonts w:cs="Times New Roman"/>
        </w:rPr>
        <w:t xml:space="preserve"> reasons</w:t>
      </w:r>
      <w:r w:rsidR="343ACA1B" w:rsidRPr="343ACA1B">
        <w:rPr>
          <w:rFonts w:cs="Times New Roman"/>
        </w:rPr>
        <w:t xml:space="preserve"> in 2023</w:t>
      </w:r>
      <w:r w:rsidR="00E756DF">
        <w:rPr>
          <w:rFonts w:cs="Times New Roman"/>
        </w:rPr>
        <w:t>, effectively ending the industry in the city</w:t>
      </w:r>
      <w:r w:rsidR="009C2A9E">
        <w:rPr>
          <w:rFonts w:cs="Times New Roman"/>
        </w:rPr>
        <w:t>.</w:t>
      </w:r>
      <w:r w:rsidR="004A311D" w:rsidRPr="343ACA1B">
        <w:rPr>
          <w:rStyle w:val="FootnoteReference"/>
          <w:rFonts w:cs="Times New Roman"/>
        </w:rPr>
        <w:footnoteReference w:id="58"/>
      </w:r>
      <w:r w:rsidR="343ACA1B" w:rsidRPr="343ACA1B">
        <w:rPr>
          <w:rFonts w:cs="Times New Roman"/>
        </w:rPr>
        <w:t xml:space="preserve"> </w:t>
      </w:r>
      <w:r w:rsidR="00A2682F" w:rsidRPr="343ACA1B">
        <w:rPr>
          <w:rFonts w:cs="Times New Roman"/>
        </w:rPr>
        <w:t xml:space="preserve">Philadelphia’s </w:t>
      </w:r>
      <w:r w:rsidR="00A2682F">
        <w:rPr>
          <w:rFonts w:cs="Times New Roman"/>
        </w:rPr>
        <w:t>C</w:t>
      </w:r>
      <w:r w:rsidR="00A2682F" w:rsidRPr="343ACA1B">
        <w:rPr>
          <w:rFonts w:cs="Times New Roman"/>
        </w:rPr>
        <w:t xml:space="preserve">ity </w:t>
      </w:r>
      <w:r w:rsidR="00A2682F">
        <w:rPr>
          <w:rFonts w:cs="Times New Roman"/>
        </w:rPr>
        <w:t>C</w:t>
      </w:r>
      <w:r w:rsidR="00A2682F" w:rsidRPr="343ACA1B">
        <w:rPr>
          <w:rFonts w:cs="Times New Roman"/>
        </w:rPr>
        <w:t xml:space="preserve">ouncil </w:t>
      </w:r>
      <w:r w:rsidR="00CC4464">
        <w:rPr>
          <w:rFonts w:cs="Times New Roman"/>
        </w:rPr>
        <w:t xml:space="preserve">subsequently </w:t>
      </w:r>
      <w:r w:rsidR="00A2682F">
        <w:rPr>
          <w:rFonts w:cs="Times New Roman"/>
        </w:rPr>
        <w:t>enact</w:t>
      </w:r>
      <w:r w:rsidR="00921076">
        <w:rPr>
          <w:rFonts w:cs="Times New Roman"/>
        </w:rPr>
        <w:t>ed</w:t>
      </w:r>
      <w:r w:rsidR="00A2682F" w:rsidRPr="343ACA1B">
        <w:rPr>
          <w:rFonts w:cs="Times New Roman"/>
        </w:rPr>
        <w:t xml:space="preserve"> a ban on all horse-drawn carriages</w:t>
      </w:r>
      <w:r w:rsidR="00A2682F">
        <w:rPr>
          <w:rFonts w:cs="Times New Roman"/>
        </w:rPr>
        <w:t>,</w:t>
      </w:r>
      <w:r w:rsidR="00A2682F" w:rsidRPr="343ACA1B">
        <w:rPr>
          <w:rFonts w:cs="Times New Roman"/>
        </w:rPr>
        <w:t xml:space="preserve"> which took effect on June 26, 2026.</w:t>
      </w:r>
      <w:r w:rsidR="00A2682F" w:rsidRPr="343ACA1B">
        <w:rPr>
          <w:rStyle w:val="FootnoteReference"/>
          <w:rFonts w:cs="Times New Roman"/>
        </w:rPr>
        <w:footnoteReference w:id="59"/>
      </w:r>
      <w:r w:rsidR="00A2682F" w:rsidRPr="343ACA1B">
        <w:rPr>
          <w:rFonts w:cs="Times New Roman"/>
        </w:rPr>
        <w:t xml:space="preserve"> </w:t>
      </w:r>
      <w:r w:rsidR="003B58AF">
        <w:rPr>
          <w:rFonts w:cs="Times New Roman"/>
        </w:rPr>
        <w:t>Philadelphia c</w:t>
      </w:r>
      <w:r w:rsidR="003752F7">
        <w:rPr>
          <w:rFonts w:cs="Times New Roman"/>
        </w:rPr>
        <w:t>ity officials and stakeholders have discussed</w:t>
      </w:r>
      <w:r w:rsidR="343ACA1B" w:rsidRPr="343ACA1B">
        <w:rPr>
          <w:rFonts w:cs="Times New Roman"/>
        </w:rPr>
        <w:t xml:space="preserve"> </w:t>
      </w:r>
      <w:r w:rsidR="00B85746">
        <w:rPr>
          <w:rFonts w:cs="Times New Roman"/>
        </w:rPr>
        <w:t>introducing</w:t>
      </w:r>
      <w:r w:rsidR="343ACA1B" w:rsidRPr="343ACA1B">
        <w:rPr>
          <w:rFonts w:cs="Times New Roman"/>
        </w:rPr>
        <w:t xml:space="preserve"> electric horseless carriages as a potential </w:t>
      </w:r>
      <w:r w:rsidR="00286D58">
        <w:rPr>
          <w:rFonts w:cs="Times New Roman"/>
        </w:rPr>
        <w:t>alternative</w:t>
      </w:r>
      <w:r w:rsidR="00286D58" w:rsidRPr="343ACA1B">
        <w:rPr>
          <w:rFonts w:cs="Times New Roman"/>
        </w:rPr>
        <w:t xml:space="preserve"> </w:t>
      </w:r>
      <w:r w:rsidR="003B58AF">
        <w:rPr>
          <w:rFonts w:cs="Times New Roman"/>
        </w:rPr>
        <w:t>to</w:t>
      </w:r>
      <w:r w:rsidR="343ACA1B" w:rsidRPr="343ACA1B">
        <w:rPr>
          <w:rFonts w:cs="Times New Roman"/>
        </w:rPr>
        <w:t xml:space="preserve"> horse-drawn carriages, </w:t>
      </w:r>
      <w:r w:rsidR="00C82B75">
        <w:rPr>
          <w:rFonts w:cs="Times New Roman"/>
        </w:rPr>
        <w:t>al</w:t>
      </w:r>
      <w:r w:rsidR="343ACA1B" w:rsidRPr="343ACA1B">
        <w:rPr>
          <w:rFonts w:cs="Times New Roman"/>
        </w:rPr>
        <w:t>though regulatory</w:t>
      </w:r>
      <w:r w:rsidR="00C82B75">
        <w:rPr>
          <w:rFonts w:cs="Times New Roman"/>
        </w:rPr>
        <w:t xml:space="preserve"> an</w:t>
      </w:r>
      <w:r w:rsidR="008A5AC7">
        <w:rPr>
          <w:rFonts w:cs="Times New Roman"/>
        </w:rPr>
        <w:t>d</w:t>
      </w:r>
      <w:r w:rsidR="00C82B75">
        <w:rPr>
          <w:rFonts w:cs="Times New Roman"/>
        </w:rPr>
        <w:t xml:space="preserve"> operational</w:t>
      </w:r>
      <w:r w:rsidR="343ACA1B" w:rsidRPr="343ACA1B">
        <w:rPr>
          <w:rFonts w:cs="Times New Roman"/>
        </w:rPr>
        <w:t xml:space="preserve"> challenges </w:t>
      </w:r>
      <w:r w:rsidR="008A5AC7">
        <w:rPr>
          <w:rFonts w:cs="Times New Roman"/>
        </w:rPr>
        <w:t xml:space="preserve">have </w:t>
      </w:r>
      <w:r w:rsidR="0073380B">
        <w:rPr>
          <w:rFonts w:cs="Times New Roman"/>
        </w:rPr>
        <w:t>yet to be resolved</w:t>
      </w:r>
      <w:r w:rsidR="343ACA1B" w:rsidRPr="343ACA1B">
        <w:rPr>
          <w:rFonts w:cs="Times New Roman"/>
        </w:rPr>
        <w:t>.</w:t>
      </w:r>
      <w:r w:rsidR="004A311D" w:rsidRPr="343ACA1B">
        <w:rPr>
          <w:rStyle w:val="FootnoteReference"/>
          <w:rFonts w:cs="Times New Roman"/>
        </w:rPr>
        <w:footnoteReference w:id="60"/>
      </w:r>
    </w:p>
    <w:p w14:paraId="154E83F6" w14:textId="2B96BA6B" w:rsidR="00626569" w:rsidRDefault="343ACA1B" w:rsidP="00626569">
      <w:pPr>
        <w:spacing w:after="0" w:line="480" w:lineRule="auto"/>
        <w:ind w:firstLine="720"/>
      </w:pPr>
      <w:r w:rsidRPr="343ACA1B">
        <w:rPr>
          <w:rFonts w:cs="Times New Roman"/>
        </w:rPr>
        <w:t>San Antonio</w:t>
      </w:r>
      <w:r w:rsidR="006239BC">
        <w:rPr>
          <w:rFonts w:cs="Times New Roman"/>
        </w:rPr>
        <w:t>, Texas’s</w:t>
      </w:r>
      <w:r w:rsidRPr="343ACA1B">
        <w:rPr>
          <w:rFonts w:cs="Times New Roman"/>
        </w:rPr>
        <w:t xml:space="preserve"> horse-drawn carriage sector is currently in a five-year </w:t>
      </w:r>
      <w:r w:rsidR="0041423F">
        <w:rPr>
          <w:rFonts w:cs="Times New Roman"/>
        </w:rPr>
        <w:t>phaseout</w:t>
      </w:r>
      <w:r w:rsidRPr="343ACA1B">
        <w:rPr>
          <w:rFonts w:cs="Times New Roman"/>
        </w:rPr>
        <w:t xml:space="preserve">, at </w:t>
      </w:r>
      <w:r w:rsidR="00CC4A11">
        <w:rPr>
          <w:rFonts w:cs="Times New Roman"/>
        </w:rPr>
        <w:t>after</w:t>
      </w:r>
      <w:r w:rsidRPr="343ACA1B">
        <w:rPr>
          <w:rFonts w:cs="Times New Roman"/>
        </w:rPr>
        <w:t xml:space="preserve"> which horse-drawn carriages will be banned throughout th</w:t>
      </w:r>
      <w:r w:rsidR="003B58AF">
        <w:rPr>
          <w:rFonts w:cs="Times New Roman"/>
        </w:rPr>
        <w:t>at</w:t>
      </w:r>
      <w:r w:rsidRPr="343ACA1B">
        <w:rPr>
          <w:rFonts w:cs="Times New Roman"/>
        </w:rPr>
        <w:t xml:space="preserve"> city.</w:t>
      </w:r>
      <w:r w:rsidR="004A311D" w:rsidRPr="343ACA1B">
        <w:rPr>
          <w:rStyle w:val="FootnoteReference"/>
          <w:rFonts w:cs="Times New Roman"/>
        </w:rPr>
        <w:footnoteReference w:id="61"/>
      </w:r>
      <w:r w:rsidRPr="343ACA1B">
        <w:rPr>
          <w:rFonts w:cs="Times New Roman"/>
        </w:rPr>
        <w:t xml:space="preserve"> In December 2024, the San Antonio City Council voted to prohibit carriage operations starting on January 1, 2030.</w:t>
      </w:r>
      <w:r w:rsidR="004A311D" w:rsidRPr="343ACA1B">
        <w:rPr>
          <w:rStyle w:val="FootnoteReference"/>
          <w:rFonts w:cs="Times New Roman"/>
        </w:rPr>
        <w:footnoteReference w:id="62"/>
      </w:r>
      <w:r w:rsidRPr="343ACA1B">
        <w:rPr>
          <w:rFonts w:cs="Times New Roman"/>
        </w:rPr>
        <w:t xml:space="preserve"> </w:t>
      </w:r>
      <w:r w:rsidRPr="343ACA1B">
        <w:rPr>
          <w:rFonts w:cs="Times New Roman"/>
        </w:rPr>
        <w:lastRenderedPageBreak/>
        <w:t xml:space="preserve">This five-year </w:t>
      </w:r>
      <w:r w:rsidR="00EC29C9">
        <w:rPr>
          <w:rFonts w:cs="Times New Roman"/>
        </w:rPr>
        <w:t>transition period</w:t>
      </w:r>
      <w:r w:rsidR="00EC29C9" w:rsidRPr="343ACA1B">
        <w:rPr>
          <w:rFonts w:cs="Times New Roman"/>
        </w:rPr>
        <w:t xml:space="preserve"> </w:t>
      </w:r>
      <w:r w:rsidR="003B58AF">
        <w:rPr>
          <w:rFonts w:cs="Times New Roman"/>
        </w:rPr>
        <w:t>is</w:t>
      </w:r>
      <w:r w:rsidRPr="343ACA1B">
        <w:rPr>
          <w:rFonts w:cs="Times New Roman"/>
        </w:rPr>
        <w:t xml:space="preserve"> </w:t>
      </w:r>
      <w:r w:rsidR="00EC29C9">
        <w:rPr>
          <w:rFonts w:cs="Times New Roman"/>
        </w:rPr>
        <w:t>intended to provide</w:t>
      </w:r>
      <w:r w:rsidR="00EC29C9" w:rsidRPr="343ACA1B">
        <w:rPr>
          <w:rFonts w:cs="Times New Roman"/>
        </w:rPr>
        <w:t xml:space="preserve"> </w:t>
      </w:r>
      <w:r w:rsidRPr="343ACA1B">
        <w:rPr>
          <w:rFonts w:cs="Times New Roman"/>
        </w:rPr>
        <w:t xml:space="preserve">carriage companies </w:t>
      </w:r>
      <w:r w:rsidR="00196287">
        <w:rPr>
          <w:rFonts w:cs="Times New Roman"/>
        </w:rPr>
        <w:t xml:space="preserve">with </w:t>
      </w:r>
      <w:r w:rsidR="00EC29C9">
        <w:rPr>
          <w:rFonts w:cs="Times New Roman"/>
        </w:rPr>
        <w:t xml:space="preserve">sufficient time </w:t>
      </w:r>
      <w:r w:rsidR="00753931">
        <w:rPr>
          <w:rFonts w:cs="Times New Roman"/>
        </w:rPr>
        <w:t xml:space="preserve">to </w:t>
      </w:r>
      <w:r w:rsidR="00EC29C9">
        <w:rPr>
          <w:rFonts w:cs="Times New Roman"/>
        </w:rPr>
        <w:t xml:space="preserve">wind down operations and satisfy </w:t>
      </w:r>
      <w:r w:rsidR="00196287">
        <w:rPr>
          <w:rFonts w:cs="Times New Roman"/>
        </w:rPr>
        <w:t xml:space="preserve">outstanding </w:t>
      </w:r>
      <w:r w:rsidRPr="343ACA1B">
        <w:rPr>
          <w:rFonts w:cs="Times New Roman"/>
        </w:rPr>
        <w:t>debt obligations.</w:t>
      </w:r>
      <w:r w:rsidR="004A311D" w:rsidRPr="343ACA1B">
        <w:rPr>
          <w:rStyle w:val="FootnoteReference"/>
          <w:rFonts w:cs="Times New Roman"/>
        </w:rPr>
        <w:footnoteReference w:id="63"/>
      </w:r>
      <w:r w:rsidR="003B58AF">
        <w:rPr>
          <w:rFonts w:cs="Times New Roman"/>
        </w:rPr>
        <w:t xml:space="preserve"> </w:t>
      </w:r>
      <w:r w:rsidRPr="343ACA1B">
        <w:rPr>
          <w:rFonts w:cs="Times New Roman"/>
        </w:rPr>
        <w:t>San Antonio plans to hold job fairs for former carriage operators and connect them with the city’s existing employment resources, such as the Ready to Work program, which provides financial support for job training, connects applicants with employment resources, and offers job placement guidance.</w:t>
      </w:r>
      <w:r w:rsidR="004A311D" w:rsidRPr="343ACA1B">
        <w:rPr>
          <w:rStyle w:val="FootnoteReference"/>
          <w:rFonts w:cs="Times New Roman"/>
        </w:rPr>
        <w:footnoteReference w:id="64"/>
      </w:r>
    </w:p>
    <w:p w14:paraId="1EEBBF0E" w14:textId="16396267" w:rsidR="000327E8" w:rsidRPr="00626569" w:rsidRDefault="00DE1EEE" w:rsidP="00626569">
      <w:pPr>
        <w:pStyle w:val="ListParagraph"/>
        <w:numPr>
          <w:ilvl w:val="0"/>
          <w:numId w:val="3"/>
        </w:numPr>
        <w:spacing w:after="0" w:line="480" w:lineRule="auto"/>
      </w:pPr>
      <w:r w:rsidRPr="00626569">
        <w:rPr>
          <w:b/>
          <w:bCs/>
        </w:rPr>
        <w:t>Relevant State and Local Laws and Regulations</w:t>
      </w:r>
    </w:p>
    <w:p w14:paraId="51C87EC5" w14:textId="4133B684" w:rsidR="00A16789" w:rsidRDefault="00A16789" w:rsidP="00933352">
      <w:pPr>
        <w:spacing w:after="0" w:line="480" w:lineRule="auto"/>
        <w:rPr>
          <w:rFonts w:cs="Times New Roman"/>
          <w:bCs/>
          <w:szCs w:val="24"/>
        </w:rPr>
      </w:pPr>
      <w:r>
        <w:rPr>
          <w:rFonts w:cs="Times New Roman"/>
          <w:bCs/>
          <w:szCs w:val="24"/>
        </w:rPr>
        <w:tab/>
        <w:t>The horse-drawn carriage industry</w:t>
      </w:r>
      <w:r w:rsidRPr="00933352">
        <w:rPr>
          <w:rFonts w:cs="Times New Roman"/>
          <w:bCs/>
          <w:szCs w:val="24"/>
        </w:rPr>
        <w:t xml:space="preserve"> is </w:t>
      </w:r>
      <w:r>
        <w:rPr>
          <w:rFonts w:cs="Times New Roman"/>
          <w:bCs/>
          <w:szCs w:val="24"/>
        </w:rPr>
        <w:t xml:space="preserve">regulated by </w:t>
      </w:r>
      <w:r w:rsidR="00E213C6" w:rsidRPr="00933352">
        <w:rPr>
          <w:rFonts w:cs="Times New Roman"/>
          <w:bCs/>
          <w:szCs w:val="24"/>
        </w:rPr>
        <w:t>New York State</w:t>
      </w:r>
      <w:r w:rsidR="00E213C6">
        <w:rPr>
          <w:rFonts w:cs="Times New Roman"/>
          <w:bCs/>
          <w:szCs w:val="24"/>
        </w:rPr>
        <w:t xml:space="preserve"> (“NYS” or “State”)</w:t>
      </w:r>
      <w:r w:rsidR="00E213C6" w:rsidRPr="00933352">
        <w:rPr>
          <w:rFonts w:cs="Times New Roman"/>
          <w:bCs/>
          <w:szCs w:val="24"/>
        </w:rPr>
        <w:t xml:space="preserve"> </w:t>
      </w:r>
      <w:r w:rsidR="00E213C6">
        <w:rPr>
          <w:rFonts w:cs="Times New Roman"/>
          <w:bCs/>
          <w:szCs w:val="24"/>
        </w:rPr>
        <w:t xml:space="preserve">animal cruelty </w:t>
      </w:r>
      <w:r w:rsidR="00E213C6" w:rsidRPr="00933352">
        <w:rPr>
          <w:rFonts w:cs="Times New Roman"/>
          <w:bCs/>
          <w:szCs w:val="24"/>
        </w:rPr>
        <w:t>law</w:t>
      </w:r>
      <w:r w:rsidR="00E213C6">
        <w:rPr>
          <w:rFonts w:cs="Times New Roman"/>
          <w:bCs/>
          <w:szCs w:val="24"/>
        </w:rPr>
        <w:t xml:space="preserve">s found in the NYS Agriculture &amp; Markets Law, </w:t>
      </w:r>
      <w:r>
        <w:rPr>
          <w:rFonts w:cs="Times New Roman"/>
          <w:bCs/>
          <w:szCs w:val="24"/>
        </w:rPr>
        <w:t>the NYC</w:t>
      </w:r>
      <w:r w:rsidRPr="00933352">
        <w:rPr>
          <w:rFonts w:cs="Times New Roman"/>
          <w:bCs/>
          <w:szCs w:val="24"/>
        </w:rPr>
        <w:t xml:space="preserve"> Administrative Code,</w:t>
      </w:r>
      <w:r w:rsidR="00E213C6">
        <w:rPr>
          <w:rFonts w:cs="Times New Roman"/>
          <w:bCs/>
          <w:szCs w:val="24"/>
        </w:rPr>
        <w:t xml:space="preserve"> and </w:t>
      </w:r>
      <w:r w:rsidRPr="00933352">
        <w:rPr>
          <w:rFonts w:cs="Times New Roman"/>
          <w:bCs/>
          <w:szCs w:val="24"/>
        </w:rPr>
        <w:t xml:space="preserve">rules promulgated by </w:t>
      </w:r>
      <w:r>
        <w:rPr>
          <w:rFonts w:cs="Times New Roman"/>
          <w:bCs/>
          <w:szCs w:val="24"/>
        </w:rPr>
        <w:t>DOHMH</w:t>
      </w:r>
      <w:r w:rsidR="00CA579D">
        <w:rPr>
          <w:rFonts w:cs="Times New Roman"/>
          <w:bCs/>
          <w:szCs w:val="24"/>
        </w:rPr>
        <w:t xml:space="preserve">, </w:t>
      </w:r>
      <w:r w:rsidR="00C678F2">
        <w:rPr>
          <w:rFonts w:cs="Times New Roman"/>
          <w:bCs/>
          <w:szCs w:val="24"/>
        </w:rPr>
        <w:t>DCWP</w:t>
      </w:r>
      <w:r w:rsidR="007C59FE">
        <w:rPr>
          <w:rFonts w:cs="Times New Roman"/>
          <w:bCs/>
          <w:szCs w:val="24"/>
        </w:rPr>
        <w:t>,</w:t>
      </w:r>
      <w:r w:rsidR="00CA579D">
        <w:rPr>
          <w:rFonts w:cs="Times New Roman"/>
          <w:bCs/>
          <w:szCs w:val="24"/>
        </w:rPr>
        <w:t xml:space="preserve"> and the NYC Department of Transportation (“DOT”)</w:t>
      </w:r>
      <w:r w:rsidRPr="00933352">
        <w:rPr>
          <w:rFonts w:cs="Times New Roman"/>
          <w:bCs/>
          <w:szCs w:val="24"/>
        </w:rPr>
        <w:t>.</w:t>
      </w:r>
      <w:r w:rsidR="00757754">
        <w:rPr>
          <w:rStyle w:val="FootnoteReference"/>
          <w:rFonts w:cs="Times New Roman"/>
          <w:bCs/>
          <w:szCs w:val="24"/>
        </w:rPr>
        <w:footnoteReference w:id="65"/>
      </w:r>
      <w:r w:rsidR="008965BD">
        <w:rPr>
          <w:rFonts w:cs="Times New Roman"/>
          <w:bCs/>
          <w:szCs w:val="24"/>
        </w:rPr>
        <w:t xml:space="preserve"> </w:t>
      </w:r>
      <w:r w:rsidR="005745A4">
        <w:rPr>
          <w:rFonts w:cs="Times New Roman"/>
          <w:bCs/>
          <w:szCs w:val="24"/>
        </w:rPr>
        <w:t xml:space="preserve">State law sets forth applicable animal cruelty laws, and local laws </w:t>
      </w:r>
      <w:r w:rsidR="008965BD">
        <w:rPr>
          <w:rFonts w:cs="Times New Roman"/>
          <w:bCs/>
          <w:szCs w:val="24"/>
        </w:rPr>
        <w:t>and rules</w:t>
      </w:r>
      <w:r w:rsidR="00E11FE8">
        <w:rPr>
          <w:rFonts w:cs="Times New Roman"/>
          <w:bCs/>
          <w:szCs w:val="24"/>
        </w:rPr>
        <w:t xml:space="preserve"> set forth</w:t>
      </w:r>
      <w:r w:rsidRPr="00933352">
        <w:rPr>
          <w:rFonts w:cs="Times New Roman"/>
          <w:bCs/>
          <w:szCs w:val="24"/>
        </w:rPr>
        <w:t xml:space="preserve"> the licensing</w:t>
      </w:r>
      <w:r w:rsidR="00E11FE8">
        <w:rPr>
          <w:rFonts w:cs="Times New Roman"/>
          <w:bCs/>
          <w:szCs w:val="24"/>
        </w:rPr>
        <w:t xml:space="preserve"> requirements</w:t>
      </w:r>
      <w:r w:rsidRPr="00933352">
        <w:rPr>
          <w:rFonts w:cs="Times New Roman"/>
          <w:bCs/>
          <w:szCs w:val="24"/>
        </w:rPr>
        <w:t xml:space="preserve"> </w:t>
      </w:r>
      <w:r w:rsidR="00E11FE8">
        <w:rPr>
          <w:rFonts w:cs="Times New Roman"/>
          <w:bCs/>
          <w:szCs w:val="24"/>
        </w:rPr>
        <w:t>for</w:t>
      </w:r>
      <w:r w:rsidRPr="00933352">
        <w:rPr>
          <w:rFonts w:cs="Times New Roman"/>
          <w:bCs/>
          <w:szCs w:val="24"/>
        </w:rPr>
        <w:t xml:space="preserve"> carriage horses and </w:t>
      </w:r>
      <w:r w:rsidR="00E11FE8">
        <w:rPr>
          <w:rFonts w:cs="Times New Roman"/>
          <w:bCs/>
          <w:szCs w:val="24"/>
        </w:rPr>
        <w:t>operators</w:t>
      </w:r>
      <w:r w:rsidRPr="00933352">
        <w:rPr>
          <w:rFonts w:cs="Times New Roman"/>
          <w:bCs/>
          <w:szCs w:val="24"/>
        </w:rPr>
        <w:t xml:space="preserve">, </w:t>
      </w:r>
      <w:r w:rsidR="008965BD">
        <w:rPr>
          <w:rFonts w:cs="Times New Roman"/>
          <w:bCs/>
          <w:szCs w:val="24"/>
        </w:rPr>
        <w:t xml:space="preserve">carriage </w:t>
      </w:r>
      <w:r w:rsidRPr="00933352">
        <w:rPr>
          <w:rFonts w:cs="Times New Roman"/>
          <w:bCs/>
          <w:szCs w:val="24"/>
        </w:rPr>
        <w:t xml:space="preserve">operational standards, animal welfare requirements, </w:t>
      </w:r>
      <w:r w:rsidR="008965BD">
        <w:rPr>
          <w:rFonts w:cs="Times New Roman"/>
          <w:bCs/>
          <w:szCs w:val="24"/>
        </w:rPr>
        <w:t xml:space="preserve">horse </w:t>
      </w:r>
      <w:r w:rsidRPr="00933352">
        <w:rPr>
          <w:rFonts w:cs="Times New Roman"/>
          <w:bCs/>
          <w:szCs w:val="24"/>
        </w:rPr>
        <w:t>stable conditions, and enforcemen</w:t>
      </w:r>
      <w:r w:rsidR="008965BD">
        <w:rPr>
          <w:rFonts w:cs="Times New Roman"/>
          <w:bCs/>
          <w:szCs w:val="24"/>
        </w:rPr>
        <w:t>t</w:t>
      </w:r>
      <w:r w:rsidR="004A54CC">
        <w:rPr>
          <w:rFonts w:cs="Times New Roman"/>
          <w:bCs/>
          <w:szCs w:val="24"/>
        </w:rPr>
        <w:t xml:space="preserve"> schemes</w:t>
      </w:r>
      <w:r w:rsidRPr="00933352">
        <w:rPr>
          <w:rFonts w:cs="Times New Roman"/>
          <w:bCs/>
          <w:szCs w:val="24"/>
        </w:rPr>
        <w:t>.</w:t>
      </w:r>
      <w:r w:rsidR="005D2B79">
        <w:rPr>
          <w:rStyle w:val="FootnoteReference"/>
          <w:rFonts w:cs="Times New Roman"/>
          <w:bCs/>
          <w:szCs w:val="24"/>
        </w:rPr>
        <w:footnoteReference w:id="66"/>
      </w:r>
      <w:r w:rsidR="00C579CD">
        <w:rPr>
          <w:rFonts w:cs="Times New Roman"/>
          <w:bCs/>
          <w:szCs w:val="24"/>
        </w:rPr>
        <w:t xml:space="preserve"> </w:t>
      </w:r>
      <w:r w:rsidR="00C579CD" w:rsidRPr="00E71559">
        <w:rPr>
          <w:rFonts w:cs="Times New Roman"/>
          <w:bCs/>
          <w:szCs w:val="24"/>
        </w:rPr>
        <w:t>Horse-drawn carriage operators</w:t>
      </w:r>
      <w:r w:rsidR="005745A4">
        <w:rPr>
          <w:rFonts w:cs="Times New Roman"/>
          <w:bCs/>
          <w:szCs w:val="24"/>
        </w:rPr>
        <w:t xml:space="preserve"> and horses themselves</w:t>
      </w:r>
      <w:r w:rsidR="00C579CD" w:rsidRPr="00E71559">
        <w:rPr>
          <w:rFonts w:cs="Times New Roman"/>
          <w:bCs/>
          <w:szCs w:val="24"/>
        </w:rPr>
        <w:t xml:space="preserve"> are licensed by the City and operate pursuant to Titles 17 and 20 of the Administrative Code</w:t>
      </w:r>
      <w:r w:rsidR="00AB4F10">
        <w:rPr>
          <w:rFonts w:cs="Times New Roman"/>
          <w:bCs/>
          <w:szCs w:val="24"/>
        </w:rPr>
        <w:t>.</w:t>
      </w:r>
      <w:r w:rsidR="0059278C">
        <w:rPr>
          <w:rStyle w:val="FootnoteReference"/>
          <w:rFonts w:cs="Times New Roman"/>
          <w:bCs/>
          <w:szCs w:val="24"/>
        </w:rPr>
        <w:footnoteReference w:id="67"/>
      </w:r>
      <w:r w:rsidR="00B6054C">
        <w:rPr>
          <w:rFonts w:cs="Times New Roman"/>
          <w:bCs/>
          <w:szCs w:val="24"/>
        </w:rPr>
        <w:t xml:space="preserve"> </w:t>
      </w:r>
      <w:r w:rsidR="008911C9">
        <w:rPr>
          <w:rFonts w:cs="Times New Roman"/>
          <w:bCs/>
          <w:szCs w:val="24"/>
        </w:rPr>
        <w:t>The City requires that each</w:t>
      </w:r>
      <w:r w:rsidR="00751AD7">
        <w:rPr>
          <w:rFonts w:cs="Times New Roman"/>
          <w:bCs/>
          <w:szCs w:val="24"/>
        </w:rPr>
        <w:t xml:space="preserve"> horse, carriage, and driver be licensed</w:t>
      </w:r>
      <w:r w:rsidR="008911C9">
        <w:rPr>
          <w:rFonts w:cs="Times New Roman"/>
          <w:bCs/>
          <w:szCs w:val="24"/>
        </w:rPr>
        <w:t xml:space="preserve"> in order to legally operate a horse-drawn carriage</w:t>
      </w:r>
      <w:r w:rsidR="00751AD7">
        <w:rPr>
          <w:rFonts w:cs="Times New Roman"/>
          <w:bCs/>
          <w:szCs w:val="24"/>
        </w:rPr>
        <w:t>.</w:t>
      </w:r>
      <w:r w:rsidR="00751AD7">
        <w:rPr>
          <w:rStyle w:val="FootnoteReference"/>
          <w:rFonts w:cs="Times New Roman"/>
          <w:bCs/>
          <w:szCs w:val="24"/>
        </w:rPr>
        <w:footnoteReference w:id="68"/>
      </w:r>
    </w:p>
    <w:p w14:paraId="5A807836" w14:textId="77777777" w:rsidR="00540F44" w:rsidRPr="00C579CD" w:rsidRDefault="00540F44" w:rsidP="00540F44">
      <w:pPr>
        <w:pStyle w:val="ListParagraph"/>
        <w:numPr>
          <w:ilvl w:val="2"/>
          <w:numId w:val="3"/>
        </w:numPr>
        <w:spacing w:after="0" w:line="480" w:lineRule="auto"/>
        <w:rPr>
          <w:rFonts w:cs="Times New Roman"/>
          <w:b/>
          <w:szCs w:val="24"/>
        </w:rPr>
      </w:pPr>
      <w:r>
        <w:rPr>
          <w:rFonts w:cs="Times New Roman"/>
          <w:b/>
          <w:szCs w:val="24"/>
        </w:rPr>
        <w:t>State Law</w:t>
      </w:r>
    </w:p>
    <w:p w14:paraId="1E2038F8" w14:textId="0879350C" w:rsidR="00C579CD" w:rsidRDefault="00540F44" w:rsidP="00933352">
      <w:pPr>
        <w:spacing w:after="0" w:line="480" w:lineRule="auto"/>
        <w:rPr>
          <w:rFonts w:cs="Times New Roman"/>
          <w:bCs/>
          <w:szCs w:val="24"/>
        </w:rPr>
      </w:pPr>
      <w:r>
        <w:rPr>
          <w:rFonts w:cs="Times New Roman"/>
          <w:bCs/>
          <w:szCs w:val="24"/>
        </w:rPr>
        <w:tab/>
      </w:r>
      <w:r w:rsidR="008D618A">
        <w:rPr>
          <w:rFonts w:cs="Times New Roman"/>
          <w:bCs/>
          <w:szCs w:val="24"/>
        </w:rPr>
        <w:t>Because c</w:t>
      </w:r>
      <w:r>
        <w:rPr>
          <w:rFonts w:cs="Times New Roman"/>
          <w:bCs/>
          <w:szCs w:val="24"/>
        </w:rPr>
        <w:t xml:space="preserve">arriage horse operations </w:t>
      </w:r>
      <w:r w:rsidR="008D618A">
        <w:rPr>
          <w:rFonts w:cs="Times New Roman"/>
          <w:bCs/>
          <w:szCs w:val="24"/>
        </w:rPr>
        <w:t>involve the use of animals, they are</w:t>
      </w:r>
      <w:r>
        <w:rPr>
          <w:rFonts w:cs="Times New Roman"/>
          <w:bCs/>
          <w:szCs w:val="24"/>
        </w:rPr>
        <w:t xml:space="preserve"> </w:t>
      </w:r>
      <w:r w:rsidRPr="00FE76AB">
        <w:rPr>
          <w:rFonts w:cs="Times New Roman"/>
          <w:bCs/>
          <w:szCs w:val="24"/>
        </w:rPr>
        <w:t xml:space="preserve">subject to </w:t>
      </w:r>
      <w:r>
        <w:rPr>
          <w:rFonts w:cs="Times New Roman"/>
          <w:bCs/>
          <w:szCs w:val="24"/>
        </w:rPr>
        <w:t xml:space="preserve">NYS </w:t>
      </w:r>
      <w:r w:rsidRPr="00FE76AB">
        <w:rPr>
          <w:rFonts w:cs="Times New Roman"/>
          <w:bCs/>
          <w:szCs w:val="24"/>
        </w:rPr>
        <w:t>animal cruelty laws</w:t>
      </w:r>
      <w:r>
        <w:rPr>
          <w:rFonts w:cs="Times New Roman"/>
          <w:bCs/>
          <w:szCs w:val="24"/>
        </w:rPr>
        <w:t>.</w:t>
      </w:r>
      <w:r>
        <w:rPr>
          <w:rStyle w:val="FootnoteReference"/>
          <w:rFonts w:cs="Times New Roman"/>
          <w:bCs/>
          <w:szCs w:val="24"/>
        </w:rPr>
        <w:footnoteReference w:id="69"/>
      </w:r>
      <w:r w:rsidRPr="00FE76AB">
        <w:rPr>
          <w:rFonts w:cs="Times New Roman"/>
          <w:bCs/>
          <w:szCs w:val="24"/>
        </w:rPr>
        <w:t xml:space="preserve"> </w:t>
      </w:r>
      <w:r>
        <w:rPr>
          <w:rFonts w:cs="Times New Roman"/>
          <w:bCs/>
          <w:szCs w:val="24"/>
        </w:rPr>
        <w:t xml:space="preserve">State animal cruelty laws within the NYS Agriculture &amp; Markets Law </w:t>
      </w:r>
      <w:r w:rsidRPr="00FE76AB">
        <w:rPr>
          <w:rFonts w:cs="Times New Roman"/>
          <w:bCs/>
          <w:szCs w:val="24"/>
        </w:rPr>
        <w:t xml:space="preserve">prohibit </w:t>
      </w:r>
      <w:r>
        <w:rPr>
          <w:rFonts w:cs="Times New Roman"/>
          <w:bCs/>
          <w:szCs w:val="24"/>
        </w:rPr>
        <w:t xml:space="preserve">the </w:t>
      </w:r>
      <w:r w:rsidRPr="00FE76AB">
        <w:rPr>
          <w:rFonts w:cs="Times New Roman"/>
          <w:bCs/>
          <w:szCs w:val="24"/>
        </w:rPr>
        <w:t xml:space="preserve">torture, </w:t>
      </w:r>
      <w:r>
        <w:rPr>
          <w:rFonts w:cs="Times New Roman"/>
          <w:bCs/>
          <w:szCs w:val="24"/>
        </w:rPr>
        <w:t xml:space="preserve">neglect, </w:t>
      </w:r>
      <w:r w:rsidRPr="00FE76AB">
        <w:rPr>
          <w:rFonts w:cs="Times New Roman"/>
          <w:bCs/>
          <w:szCs w:val="24"/>
        </w:rPr>
        <w:t xml:space="preserve">unjustifiable injury, or deprivation of necessary sustenance or </w:t>
      </w:r>
      <w:r w:rsidRPr="00FE76AB">
        <w:rPr>
          <w:rFonts w:cs="Times New Roman"/>
          <w:bCs/>
          <w:szCs w:val="24"/>
        </w:rPr>
        <w:lastRenderedPageBreak/>
        <w:t>veterinary care of animals</w:t>
      </w:r>
      <w:r>
        <w:rPr>
          <w:rFonts w:cs="Times New Roman"/>
          <w:bCs/>
          <w:szCs w:val="24"/>
        </w:rPr>
        <w:t>, including carriage horses</w:t>
      </w:r>
      <w:r w:rsidRPr="00FE76AB">
        <w:rPr>
          <w:rFonts w:cs="Times New Roman"/>
          <w:bCs/>
          <w:szCs w:val="24"/>
        </w:rPr>
        <w:t>.</w:t>
      </w:r>
      <w:r>
        <w:rPr>
          <w:rStyle w:val="FootnoteReference"/>
          <w:rFonts w:cs="Times New Roman"/>
          <w:bCs/>
          <w:szCs w:val="24"/>
        </w:rPr>
        <w:footnoteReference w:id="70"/>
      </w:r>
      <w:r w:rsidR="00D7260D">
        <w:rPr>
          <w:rFonts w:cs="Times New Roman"/>
          <w:bCs/>
          <w:szCs w:val="24"/>
        </w:rPr>
        <w:t xml:space="preserve"> State law is otherwise silent </w:t>
      </w:r>
      <w:r w:rsidR="004A54CC">
        <w:rPr>
          <w:rFonts w:cs="Times New Roman"/>
          <w:bCs/>
          <w:szCs w:val="24"/>
        </w:rPr>
        <w:t>on</w:t>
      </w:r>
      <w:r w:rsidR="00D7260D">
        <w:rPr>
          <w:rFonts w:cs="Times New Roman"/>
          <w:bCs/>
          <w:szCs w:val="24"/>
        </w:rPr>
        <w:t xml:space="preserve"> regulation of the horse carriage industry</w:t>
      </w:r>
      <w:r w:rsidR="00162874">
        <w:rPr>
          <w:rFonts w:cs="Times New Roman"/>
          <w:bCs/>
          <w:szCs w:val="24"/>
        </w:rPr>
        <w:t xml:space="preserve"> in NYC</w:t>
      </w:r>
      <w:r w:rsidR="004A54CC">
        <w:rPr>
          <w:rFonts w:cs="Times New Roman"/>
          <w:bCs/>
          <w:szCs w:val="24"/>
        </w:rPr>
        <w:t>.</w:t>
      </w:r>
    </w:p>
    <w:p w14:paraId="12C8B2EA" w14:textId="77777777" w:rsidR="00E37395" w:rsidRDefault="00E37395" w:rsidP="00933352">
      <w:pPr>
        <w:spacing w:after="0" w:line="480" w:lineRule="auto"/>
        <w:rPr>
          <w:rFonts w:cs="Times New Roman"/>
          <w:bCs/>
          <w:szCs w:val="24"/>
        </w:rPr>
      </w:pPr>
    </w:p>
    <w:p w14:paraId="64EEA82E" w14:textId="77777777" w:rsidR="00C579CD" w:rsidRDefault="00C579CD" w:rsidP="00C579CD">
      <w:pPr>
        <w:pStyle w:val="ListParagraph"/>
        <w:numPr>
          <w:ilvl w:val="2"/>
          <w:numId w:val="3"/>
        </w:numPr>
        <w:spacing w:after="0" w:line="480" w:lineRule="auto"/>
        <w:rPr>
          <w:rFonts w:cs="Times New Roman"/>
          <w:b/>
          <w:szCs w:val="24"/>
        </w:rPr>
      </w:pPr>
      <w:r w:rsidRPr="00E71559">
        <w:rPr>
          <w:rFonts w:cs="Times New Roman"/>
          <w:b/>
          <w:szCs w:val="24"/>
        </w:rPr>
        <w:t>Title 17 of the Administrative Code</w:t>
      </w:r>
    </w:p>
    <w:p w14:paraId="2CCB9447" w14:textId="6EED2A12" w:rsidR="00C579CD" w:rsidRPr="00E71559" w:rsidRDefault="00C579CD" w:rsidP="00C579CD">
      <w:pPr>
        <w:pStyle w:val="ListParagraph"/>
        <w:spacing w:after="0" w:line="480" w:lineRule="auto"/>
        <w:ind w:left="0"/>
        <w:rPr>
          <w:rFonts w:cs="Times New Roman"/>
          <w:b/>
          <w:szCs w:val="24"/>
        </w:rPr>
      </w:pPr>
      <w:r>
        <w:rPr>
          <w:rFonts w:cs="Times New Roman"/>
          <w:b/>
          <w:szCs w:val="24"/>
        </w:rPr>
        <w:tab/>
      </w:r>
      <w:r w:rsidR="00162874" w:rsidRPr="007C59FE">
        <w:rPr>
          <w:rFonts w:cs="Times New Roman"/>
          <w:bCs/>
          <w:szCs w:val="24"/>
        </w:rPr>
        <w:t>Title 17 of the Administ</w:t>
      </w:r>
      <w:r w:rsidR="00162874">
        <w:rPr>
          <w:rFonts w:cs="Times New Roman"/>
          <w:bCs/>
          <w:szCs w:val="24"/>
        </w:rPr>
        <w:t>r</w:t>
      </w:r>
      <w:r w:rsidR="001B49D9">
        <w:rPr>
          <w:rFonts w:cs="Times New Roman"/>
          <w:bCs/>
          <w:szCs w:val="24"/>
        </w:rPr>
        <w:t xml:space="preserve">ative Code </w:t>
      </w:r>
      <w:r w:rsidR="00232411">
        <w:rPr>
          <w:rFonts w:cs="Times New Roman"/>
          <w:bCs/>
          <w:szCs w:val="24"/>
        </w:rPr>
        <w:t>sets forth the animal</w:t>
      </w:r>
      <w:r w:rsidR="00670DB7">
        <w:rPr>
          <w:rFonts w:cs="Times New Roman"/>
          <w:bCs/>
          <w:szCs w:val="24"/>
        </w:rPr>
        <w:t xml:space="preserve"> </w:t>
      </w:r>
      <w:r w:rsidR="00232411">
        <w:rPr>
          <w:rFonts w:cs="Times New Roman"/>
          <w:bCs/>
          <w:szCs w:val="24"/>
        </w:rPr>
        <w:t xml:space="preserve">welfare component of </w:t>
      </w:r>
      <w:r w:rsidR="00670DB7">
        <w:rPr>
          <w:rFonts w:cs="Times New Roman"/>
          <w:bCs/>
          <w:szCs w:val="24"/>
        </w:rPr>
        <w:t>local laws regulating the horse carriage industry.</w:t>
      </w:r>
      <w:r w:rsidR="00B50C77">
        <w:rPr>
          <w:rStyle w:val="FootnoteReference"/>
          <w:rFonts w:cs="Times New Roman"/>
          <w:bCs/>
          <w:szCs w:val="24"/>
        </w:rPr>
        <w:footnoteReference w:id="71"/>
      </w:r>
      <w:r w:rsidR="001B49D9">
        <w:rPr>
          <w:rFonts w:cs="Times New Roman"/>
          <w:bCs/>
          <w:szCs w:val="24"/>
        </w:rPr>
        <w:t xml:space="preserve"> </w:t>
      </w:r>
      <w:r w:rsidRPr="00E71559">
        <w:rPr>
          <w:rFonts w:cs="Times New Roman"/>
          <w:bCs/>
          <w:szCs w:val="24"/>
        </w:rPr>
        <w:t xml:space="preserve">Subchapter 3 of Chapter 3 of Title 17, known as the </w:t>
      </w:r>
      <w:r w:rsidRPr="00E71559">
        <w:rPr>
          <w:rFonts w:cs="Times New Roman"/>
          <w:szCs w:val="24"/>
        </w:rPr>
        <w:t>Rental Horse Licensing and Protection Law (“RHLPL”)</w:t>
      </w:r>
      <w:r w:rsidRPr="00E71559">
        <w:rPr>
          <w:rFonts w:cs="Times New Roman"/>
          <w:bCs/>
          <w:szCs w:val="24"/>
        </w:rPr>
        <w:t>, establishes the City's animal welfare laws for horses used in commercial rentals, including horse-drawn carriage operations. The RHLPL requires each rental horse to be licensed annually by DOHMH, requires each licensed horse to hold a City-issued identification tag and certificate, and requires notification to DOHMH upon the sale, transfer, death, or permanent removal of a licensed horse.</w:t>
      </w:r>
      <w:r>
        <w:rPr>
          <w:rStyle w:val="FootnoteReference"/>
          <w:rFonts w:cs="Times New Roman"/>
          <w:bCs/>
          <w:szCs w:val="24"/>
        </w:rPr>
        <w:footnoteReference w:id="72"/>
      </w:r>
      <w:r w:rsidRPr="00E71559">
        <w:rPr>
          <w:rFonts w:cs="Times New Roman"/>
          <w:bCs/>
          <w:szCs w:val="24"/>
        </w:rPr>
        <w:t xml:space="preserve"> </w:t>
      </w:r>
      <w:r>
        <w:rPr>
          <w:rFonts w:cs="Times New Roman"/>
          <w:bCs/>
          <w:szCs w:val="24"/>
        </w:rPr>
        <w:t>The RHLPL also e</w:t>
      </w:r>
      <w:r w:rsidRPr="00C579CD">
        <w:rPr>
          <w:rFonts w:cs="Times New Roman"/>
          <w:bCs/>
          <w:szCs w:val="24"/>
        </w:rPr>
        <w:t>stablishes the Rental Horse Advisory Board</w:t>
      </w:r>
      <w:r>
        <w:rPr>
          <w:rFonts w:cs="Times New Roman"/>
          <w:bCs/>
          <w:szCs w:val="24"/>
        </w:rPr>
        <w:t>, which seeks to</w:t>
      </w:r>
      <w:r w:rsidRPr="00C579CD">
        <w:rPr>
          <w:rFonts w:cs="Times New Roman"/>
          <w:bCs/>
          <w:szCs w:val="24"/>
        </w:rPr>
        <w:t xml:space="preserve"> advise DOHMH on regulations affecting rental horse welfare and authorizes enforcement through inspections</w:t>
      </w:r>
      <w:r>
        <w:rPr>
          <w:rFonts w:cs="Times New Roman"/>
          <w:bCs/>
          <w:szCs w:val="24"/>
        </w:rPr>
        <w:t xml:space="preserve"> and civil penalties.</w:t>
      </w:r>
      <w:r>
        <w:rPr>
          <w:rStyle w:val="FootnoteReference"/>
          <w:rFonts w:cs="Times New Roman"/>
          <w:bCs/>
          <w:szCs w:val="24"/>
        </w:rPr>
        <w:footnoteReference w:id="73"/>
      </w:r>
      <w:r>
        <w:rPr>
          <w:rFonts w:cs="Times New Roman"/>
          <w:bCs/>
          <w:szCs w:val="24"/>
        </w:rPr>
        <w:t xml:space="preserve"> Finally, the RHLPL sets </w:t>
      </w:r>
      <w:r w:rsidR="00FB2E5A">
        <w:rPr>
          <w:rFonts w:cs="Times New Roman"/>
          <w:bCs/>
          <w:szCs w:val="24"/>
        </w:rPr>
        <w:t>comprehensive</w:t>
      </w:r>
      <w:r>
        <w:rPr>
          <w:rFonts w:cs="Times New Roman"/>
          <w:bCs/>
          <w:szCs w:val="24"/>
        </w:rPr>
        <w:t xml:space="preserve"> requirements for the welfare</w:t>
      </w:r>
      <w:r w:rsidR="00FB2E5A">
        <w:rPr>
          <w:rFonts w:cs="Times New Roman"/>
          <w:bCs/>
          <w:szCs w:val="24"/>
        </w:rPr>
        <w:t xml:space="preserve"> and safety</w:t>
      </w:r>
      <w:r>
        <w:rPr>
          <w:rFonts w:cs="Times New Roman"/>
          <w:bCs/>
          <w:szCs w:val="24"/>
        </w:rPr>
        <w:t xml:space="preserve"> of carriage horses.</w:t>
      </w:r>
      <w:r>
        <w:rPr>
          <w:rStyle w:val="FootnoteReference"/>
          <w:rFonts w:cs="Times New Roman"/>
          <w:bCs/>
          <w:szCs w:val="24"/>
        </w:rPr>
        <w:footnoteReference w:id="74"/>
      </w:r>
      <w:r w:rsidR="00FB2E5A">
        <w:rPr>
          <w:rFonts w:cs="Times New Roman"/>
          <w:bCs/>
          <w:szCs w:val="24"/>
        </w:rPr>
        <w:t xml:space="preserve"> These include</w:t>
      </w:r>
      <w:r w:rsidR="008F5A7B">
        <w:rPr>
          <w:rFonts w:cs="Times New Roman"/>
          <w:bCs/>
          <w:szCs w:val="24"/>
        </w:rPr>
        <w:t>:</w:t>
      </w:r>
      <w:r w:rsidR="00FB2E5A">
        <w:rPr>
          <w:rFonts w:cs="Times New Roman"/>
          <w:bCs/>
          <w:szCs w:val="24"/>
        </w:rPr>
        <w:t xml:space="preserve"> requiring that </w:t>
      </w:r>
      <w:r w:rsidR="00E213C6">
        <w:rPr>
          <w:rFonts w:cs="Times New Roman"/>
          <w:bCs/>
          <w:szCs w:val="24"/>
        </w:rPr>
        <w:t xml:space="preserve">carriage </w:t>
      </w:r>
      <w:r w:rsidR="00FB2E5A">
        <w:rPr>
          <w:rFonts w:cs="Times New Roman"/>
          <w:bCs/>
          <w:szCs w:val="24"/>
        </w:rPr>
        <w:t xml:space="preserve">horses </w:t>
      </w:r>
      <w:r w:rsidR="00FB2E5A" w:rsidRPr="00FB2E5A">
        <w:rPr>
          <w:rFonts w:cs="Times New Roman"/>
          <w:bCs/>
          <w:szCs w:val="24"/>
        </w:rPr>
        <w:t>be provided with sufficient food and water necessary to maintain their health</w:t>
      </w:r>
      <w:r w:rsidR="00FB2E5A">
        <w:rPr>
          <w:rFonts w:cs="Times New Roman"/>
          <w:bCs/>
          <w:szCs w:val="24"/>
        </w:rPr>
        <w:t xml:space="preserve">; requiring </w:t>
      </w:r>
      <w:r w:rsidR="00FB2E5A" w:rsidRPr="00FB2E5A">
        <w:rPr>
          <w:rFonts w:cs="Times New Roman"/>
          <w:bCs/>
          <w:szCs w:val="24"/>
        </w:rPr>
        <w:t>that harnesses, bridles, bits, shoes, and other equipment are properly fitted, maintained, and used in a manner that does not injure or endanger the horse</w:t>
      </w:r>
      <w:r w:rsidR="00FB2E5A">
        <w:rPr>
          <w:rFonts w:cs="Times New Roman"/>
          <w:bCs/>
          <w:szCs w:val="24"/>
        </w:rPr>
        <w:t>; requiring that stables are clean and properly maintained; and requiring that horses be tethered e</w:t>
      </w:r>
      <w:r w:rsidR="00FB2E5A" w:rsidRPr="00FB2E5A">
        <w:rPr>
          <w:rFonts w:cs="Times New Roman"/>
          <w:bCs/>
          <w:szCs w:val="24"/>
        </w:rPr>
        <w:t>xcept when confined in a stable or other enclosure</w:t>
      </w:r>
      <w:r w:rsidR="00FB2E5A">
        <w:rPr>
          <w:rFonts w:cs="Times New Roman"/>
          <w:bCs/>
          <w:szCs w:val="24"/>
        </w:rPr>
        <w:t>.</w:t>
      </w:r>
      <w:r w:rsidR="00FB2E5A">
        <w:rPr>
          <w:rStyle w:val="FootnoteReference"/>
          <w:rFonts w:cs="Times New Roman"/>
          <w:bCs/>
          <w:szCs w:val="24"/>
        </w:rPr>
        <w:footnoteReference w:id="75"/>
      </w:r>
    </w:p>
    <w:p w14:paraId="1013DC14" w14:textId="4EF92C92" w:rsidR="00C579CD" w:rsidRPr="00933352" w:rsidRDefault="00C579CD" w:rsidP="00C579CD">
      <w:pPr>
        <w:spacing w:after="0" w:line="480" w:lineRule="auto"/>
        <w:rPr>
          <w:rFonts w:cs="Times New Roman"/>
          <w:bCs/>
          <w:szCs w:val="24"/>
        </w:rPr>
      </w:pPr>
      <w:r>
        <w:rPr>
          <w:rFonts w:cs="Times New Roman"/>
          <w:bCs/>
          <w:szCs w:val="24"/>
        </w:rPr>
        <w:lastRenderedPageBreak/>
        <w:tab/>
        <w:t>DOHMH promulgates and</w:t>
      </w:r>
      <w:r w:rsidRPr="00933352">
        <w:rPr>
          <w:rFonts w:cs="Times New Roman"/>
          <w:bCs/>
          <w:szCs w:val="24"/>
        </w:rPr>
        <w:t xml:space="preserve"> administers regulations </w:t>
      </w:r>
      <w:r>
        <w:rPr>
          <w:rFonts w:cs="Times New Roman"/>
          <w:bCs/>
          <w:szCs w:val="24"/>
        </w:rPr>
        <w:t>pursuant to Title 17</w:t>
      </w:r>
      <w:r w:rsidRPr="00933352">
        <w:rPr>
          <w:rFonts w:cs="Times New Roman"/>
          <w:bCs/>
          <w:szCs w:val="24"/>
        </w:rPr>
        <w:t>.</w:t>
      </w:r>
      <w:r>
        <w:rPr>
          <w:rStyle w:val="FootnoteReference"/>
          <w:rFonts w:cs="Times New Roman"/>
          <w:bCs/>
          <w:szCs w:val="24"/>
        </w:rPr>
        <w:footnoteReference w:id="76"/>
      </w:r>
      <w:r w:rsidRPr="00933352">
        <w:rPr>
          <w:rFonts w:cs="Times New Roman"/>
          <w:bCs/>
          <w:szCs w:val="24"/>
        </w:rPr>
        <w:t xml:space="preserve"> These regulations address veterinary exam</w:t>
      </w:r>
      <w:r>
        <w:rPr>
          <w:rFonts w:cs="Times New Roman"/>
          <w:bCs/>
          <w:szCs w:val="24"/>
        </w:rPr>
        <w:t>s of horses</w:t>
      </w:r>
      <w:r w:rsidRPr="00933352">
        <w:rPr>
          <w:rFonts w:cs="Times New Roman"/>
          <w:bCs/>
          <w:szCs w:val="24"/>
        </w:rPr>
        <w:t>, recordkeeping</w:t>
      </w:r>
      <w:r>
        <w:rPr>
          <w:rFonts w:cs="Times New Roman"/>
          <w:bCs/>
          <w:szCs w:val="24"/>
        </w:rPr>
        <w:t xml:space="preserve"> requirements</w:t>
      </w:r>
      <w:r w:rsidRPr="00933352">
        <w:rPr>
          <w:rFonts w:cs="Times New Roman"/>
          <w:bCs/>
          <w:szCs w:val="24"/>
        </w:rPr>
        <w:t xml:space="preserve">, feeding and watering requirements, </w:t>
      </w:r>
      <w:r>
        <w:rPr>
          <w:rFonts w:cs="Times New Roman"/>
          <w:bCs/>
          <w:szCs w:val="24"/>
        </w:rPr>
        <w:t xml:space="preserve">horse </w:t>
      </w:r>
      <w:r w:rsidRPr="00933352">
        <w:rPr>
          <w:rFonts w:cs="Times New Roman"/>
          <w:bCs/>
          <w:szCs w:val="24"/>
        </w:rPr>
        <w:t xml:space="preserve">stall </w:t>
      </w:r>
      <w:r>
        <w:rPr>
          <w:rFonts w:cs="Times New Roman"/>
          <w:bCs/>
          <w:szCs w:val="24"/>
        </w:rPr>
        <w:t>sizing requirements</w:t>
      </w:r>
      <w:r w:rsidRPr="00933352">
        <w:rPr>
          <w:rFonts w:cs="Times New Roman"/>
          <w:bCs/>
          <w:szCs w:val="24"/>
        </w:rPr>
        <w:t xml:space="preserve">, </w:t>
      </w:r>
      <w:r>
        <w:rPr>
          <w:rFonts w:cs="Times New Roman"/>
          <w:bCs/>
          <w:szCs w:val="24"/>
        </w:rPr>
        <w:t>sanitation and ventilation requirements for stables,</w:t>
      </w:r>
      <w:r w:rsidRPr="00933352">
        <w:rPr>
          <w:rFonts w:cs="Times New Roman"/>
          <w:bCs/>
          <w:szCs w:val="24"/>
        </w:rPr>
        <w:t xml:space="preserve"> exercise</w:t>
      </w:r>
      <w:r>
        <w:rPr>
          <w:rFonts w:cs="Times New Roman"/>
          <w:bCs/>
          <w:szCs w:val="24"/>
        </w:rPr>
        <w:t xml:space="preserve"> requirements</w:t>
      </w:r>
      <w:r w:rsidRPr="00933352">
        <w:rPr>
          <w:rFonts w:cs="Times New Roman"/>
          <w:bCs/>
          <w:szCs w:val="24"/>
        </w:rPr>
        <w:t xml:space="preserve">, rest periods, and </w:t>
      </w:r>
      <w:r>
        <w:rPr>
          <w:rFonts w:cs="Times New Roman"/>
          <w:bCs/>
          <w:szCs w:val="24"/>
        </w:rPr>
        <w:t xml:space="preserve">evidence-based </w:t>
      </w:r>
      <w:r w:rsidRPr="00933352">
        <w:rPr>
          <w:rFonts w:cs="Times New Roman"/>
          <w:bCs/>
          <w:szCs w:val="24"/>
        </w:rPr>
        <w:t xml:space="preserve">standards for determining </w:t>
      </w:r>
      <w:r>
        <w:rPr>
          <w:rFonts w:cs="Times New Roman"/>
          <w:bCs/>
          <w:szCs w:val="24"/>
        </w:rPr>
        <w:t>fitness for a horse to work as a carriage horse</w:t>
      </w:r>
      <w:r w:rsidRPr="00933352">
        <w:rPr>
          <w:rFonts w:cs="Times New Roman"/>
          <w:bCs/>
          <w:szCs w:val="24"/>
        </w:rPr>
        <w:t>.</w:t>
      </w:r>
      <w:r>
        <w:rPr>
          <w:rStyle w:val="FootnoteReference"/>
          <w:rFonts w:cs="Times New Roman"/>
          <w:bCs/>
          <w:szCs w:val="24"/>
        </w:rPr>
        <w:footnoteReference w:id="77"/>
      </w:r>
      <w:r w:rsidRPr="00933352">
        <w:rPr>
          <w:rFonts w:cs="Times New Roman"/>
          <w:bCs/>
          <w:szCs w:val="24"/>
        </w:rPr>
        <w:t xml:space="preserve"> DOHMH inspectors are authorized</w:t>
      </w:r>
      <w:r>
        <w:rPr>
          <w:rFonts w:cs="Times New Roman"/>
          <w:bCs/>
          <w:szCs w:val="24"/>
        </w:rPr>
        <w:t xml:space="preserve"> under these regulations</w:t>
      </w:r>
      <w:r w:rsidRPr="00933352">
        <w:rPr>
          <w:rFonts w:cs="Times New Roman"/>
          <w:bCs/>
          <w:szCs w:val="24"/>
        </w:rPr>
        <w:t xml:space="preserve"> to inspect horses and stables, investigate complaints, and issue violation</w:t>
      </w:r>
      <w:r>
        <w:rPr>
          <w:rFonts w:cs="Times New Roman"/>
          <w:bCs/>
          <w:szCs w:val="24"/>
        </w:rPr>
        <w:t>s.</w:t>
      </w:r>
      <w:r>
        <w:rPr>
          <w:rStyle w:val="FootnoteReference"/>
          <w:rFonts w:cs="Times New Roman"/>
          <w:bCs/>
          <w:szCs w:val="24"/>
        </w:rPr>
        <w:footnoteReference w:id="78"/>
      </w:r>
    </w:p>
    <w:p w14:paraId="0B53383D" w14:textId="3C12A2EC" w:rsidR="00E71559" w:rsidRPr="00E71559" w:rsidRDefault="00E71559" w:rsidP="00E71559">
      <w:pPr>
        <w:pStyle w:val="ListParagraph"/>
        <w:numPr>
          <w:ilvl w:val="2"/>
          <w:numId w:val="3"/>
        </w:numPr>
        <w:spacing w:after="0" w:line="480" w:lineRule="auto"/>
        <w:rPr>
          <w:rFonts w:cs="Times New Roman"/>
          <w:b/>
          <w:szCs w:val="24"/>
        </w:rPr>
      </w:pPr>
      <w:r w:rsidRPr="00E71559">
        <w:rPr>
          <w:rFonts w:cs="Times New Roman"/>
          <w:b/>
          <w:szCs w:val="24"/>
        </w:rPr>
        <w:t>Title 20 of the Administrative Code</w:t>
      </w:r>
    </w:p>
    <w:p w14:paraId="740D7398" w14:textId="32F39D13" w:rsidR="00E71559" w:rsidRDefault="0076148D" w:rsidP="00E71559">
      <w:pPr>
        <w:spacing w:after="0" w:line="480" w:lineRule="auto"/>
        <w:rPr>
          <w:rFonts w:cs="Times New Roman"/>
          <w:bCs/>
          <w:szCs w:val="24"/>
        </w:rPr>
      </w:pPr>
      <w:r>
        <w:rPr>
          <w:rFonts w:cs="Times New Roman"/>
          <w:bCs/>
          <w:szCs w:val="24"/>
        </w:rPr>
        <w:tab/>
      </w:r>
      <w:r w:rsidR="00757754">
        <w:rPr>
          <w:rFonts w:cs="Times New Roman"/>
          <w:bCs/>
          <w:szCs w:val="24"/>
        </w:rPr>
        <w:t xml:space="preserve">Title </w:t>
      </w:r>
      <w:r w:rsidR="008965BD">
        <w:rPr>
          <w:rFonts w:cs="Times New Roman"/>
          <w:bCs/>
          <w:szCs w:val="24"/>
        </w:rPr>
        <w:t>20</w:t>
      </w:r>
      <w:r w:rsidR="00FE76AB">
        <w:rPr>
          <w:rFonts w:cs="Times New Roman"/>
          <w:bCs/>
          <w:szCs w:val="24"/>
        </w:rPr>
        <w:t xml:space="preserve"> of the Administrative Code</w:t>
      </w:r>
      <w:r w:rsidR="00A16789" w:rsidRPr="00933352">
        <w:rPr>
          <w:rFonts w:cs="Times New Roman"/>
          <w:bCs/>
          <w:szCs w:val="24"/>
        </w:rPr>
        <w:t xml:space="preserve"> establishes licensing requirements for carriage horse owners, drivers, and horses, limits the number of licensed carriage horses</w:t>
      </w:r>
      <w:r w:rsidR="008965BD">
        <w:rPr>
          <w:rFonts w:cs="Times New Roman"/>
          <w:bCs/>
          <w:szCs w:val="24"/>
        </w:rPr>
        <w:t xml:space="preserve"> that may operate</w:t>
      </w:r>
      <w:r w:rsidR="00F37855">
        <w:rPr>
          <w:rFonts w:cs="Times New Roman"/>
          <w:bCs/>
          <w:szCs w:val="24"/>
        </w:rPr>
        <w:t xml:space="preserve"> in the City</w:t>
      </w:r>
      <w:r w:rsidR="00A16789" w:rsidRPr="00933352">
        <w:rPr>
          <w:rFonts w:cs="Times New Roman"/>
          <w:bCs/>
          <w:szCs w:val="24"/>
        </w:rPr>
        <w:t xml:space="preserve">, </w:t>
      </w:r>
      <w:r w:rsidR="008965BD">
        <w:rPr>
          <w:rFonts w:cs="Times New Roman"/>
          <w:bCs/>
          <w:szCs w:val="24"/>
        </w:rPr>
        <w:t xml:space="preserve">establishes </w:t>
      </w:r>
      <w:r w:rsidR="00A16789" w:rsidRPr="00933352">
        <w:rPr>
          <w:rFonts w:cs="Times New Roman"/>
          <w:bCs/>
          <w:szCs w:val="24"/>
        </w:rPr>
        <w:t xml:space="preserve">operational requirements, and </w:t>
      </w:r>
      <w:r w:rsidR="008965BD">
        <w:rPr>
          <w:rFonts w:cs="Times New Roman"/>
          <w:bCs/>
          <w:szCs w:val="24"/>
        </w:rPr>
        <w:t>requires</w:t>
      </w:r>
      <w:r w:rsidR="00A16789" w:rsidRPr="00933352">
        <w:rPr>
          <w:rFonts w:cs="Times New Roman"/>
          <w:bCs/>
          <w:szCs w:val="24"/>
        </w:rPr>
        <w:t xml:space="preserve"> inspections and enforcement</w:t>
      </w:r>
      <w:r w:rsidR="008965BD">
        <w:rPr>
          <w:rFonts w:cs="Times New Roman"/>
          <w:bCs/>
          <w:szCs w:val="24"/>
        </w:rPr>
        <w:t xml:space="preserve"> actions</w:t>
      </w:r>
      <w:r w:rsidR="00A16789" w:rsidRPr="00933352">
        <w:rPr>
          <w:rFonts w:cs="Times New Roman"/>
          <w:bCs/>
          <w:szCs w:val="24"/>
        </w:rPr>
        <w:t xml:space="preserve"> by </w:t>
      </w:r>
      <w:r w:rsidR="008965BD">
        <w:rPr>
          <w:rFonts w:cs="Times New Roman"/>
          <w:bCs/>
          <w:szCs w:val="24"/>
        </w:rPr>
        <w:t>DCWP and other agencies as necessary</w:t>
      </w:r>
      <w:r w:rsidR="00A16789" w:rsidRPr="00933352">
        <w:rPr>
          <w:rFonts w:cs="Times New Roman"/>
          <w:bCs/>
          <w:szCs w:val="24"/>
        </w:rPr>
        <w:t>.</w:t>
      </w:r>
      <w:r w:rsidR="00DA17A2">
        <w:rPr>
          <w:rStyle w:val="FootnoteReference"/>
          <w:rFonts w:cs="Times New Roman"/>
          <w:bCs/>
          <w:szCs w:val="24"/>
        </w:rPr>
        <w:footnoteReference w:id="79"/>
      </w:r>
      <w:r w:rsidR="00F37855">
        <w:rPr>
          <w:rFonts w:cs="Times New Roman"/>
          <w:bCs/>
          <w:szCs w:val="24"/>
        </w:rPr>
        <w:t xml:space="preserve"> </w:t>
      </w:r>
      <w:r w:rsidR="001D55B6">
        <w:rPr>
          <w:rFonts w:cs="Times New Roman"/>
          <w:bCs/>
          <w:szCs w:val="24"/>
        </w:rPr>
        <w:t>Title 20 requires that carriages and drivers each be licensed</w:t>
      </w:r>
      <w:r w:rsidR="00DB16A2">
        <w:rPr>
          <w:rFonts w:cs="Times New Roman"/>
          <w:bCs/>
          <w:szCs w:val="24"/>
        </w:rPr>
        <w:t>.</w:t>
      </w:r>
      <w:r w:rsidR="00DB16A2">
        <w:rPr>
          <w:rStyle w:val="FootnoteReference"/>
          <w:rFonts w:cs="Times New Roman"/>
          <w:bCs/>
          <w:szCs w:val="24"/>
        </w:rPr>
        <w:footnoteReference w:id="80"/>
      </w:r>
      <w:r w:rsidR="002F4A49">
        <w:rPr>
          <w:rFonts w:cs="Times New Roman"/>
          <w:bCs/>
          <w:szCs w:val="24"/>
        </w:rPr>
        <w:t xml:space="preserve"> </w:t>
      </w:r>
      <w:r w:rsidR="00DB16A2">
        <w:rPr>
          <w:rFonts w:cs="Times New Roman"/>
          <w:bCs/>
          <w:szCs w:val="24"/>
        </w:rPr>
        <w:t>C</w:t>
      </w:r>
      <w:r w:rsidR="00427070">
        <w:rPr>
          <w:rFonts w:cs="Times New Roman"/>
          <w:bCs/>
          <w:szCs w:val="24"/>
        </w:rPr>
        <w:t>arriag</w:t>
      </w:r>
      <w:r w:rsidR="00A127A7">
        <w:rPr>
          <w:rFonts w:cs="Times New Roman"/>
          <w:bCs/>
          <w:szCs w:val="24"/>
        </w:rPr>
        <w:t>e</w:t>
      </w:r>
      <w:r w:rsidR="00DB16A2">
        <w:rPr>
          <w:rFonts w:cs="Times New Roman"/>
          <w:bCs/>
          <w:szCs w:val="24"/>
        </w:rPr>
        <w:t xml:space="preserve"> licenses</w:t>
      </w:r>
      <w:r w:rsidR="00A127A7">
        <w:rPr>
          <w:rFonts w:cs="Times New Roman"/>
          <w:bCs/>
          <w:szCs w:val="24"/>
        </w:rPr>
        <w:t xml:space="preserve"> are</w:t>
      </w:r>
      <w:r w:rsidR="00427070">
        <w:rPr>
          <w:rFonts w:cs="Times New Roman"/>
          <w:bCs/>
          <w:szCs w:val="24"/>
        </w:rPr>
        <w:t xml:space="preserve"> </w:t>
      </w:r>
      <w:r w:rsidR="00DB16A2">
        <w:rPr>
          <w:rFonts w:cs="Times New Roman"/>
          <w:bCs/>
          <w:szCs w:val="24"/>
        </w:rPr>
        <w:t>issued</w:t>
      </w:r>
      <w:r w:rsidR="0054496E">
        <w:rPr>
          <w:rFonts w:cs="Times New Roman"/>
          <w:bCs/>
          <w:szCs w:val="24"/>
        </w:rPr>
        <w:t xml:space="preserve"> for a term of 2 years</w:t>
      </w:r>
      <w:r w:rsidR="00A127A7">
        <w:rPr>
          <w:rFonts w:cs="Times New Roman"/>
          <w:bCs/>
          <w:szCs w:val="24"/>
        </w:rPr>
        <w:t xml:space="preserve">, and carriage drivers are licensed for </w:t>
      </w:r>
      <w:r w:rsidR="008F5A7B">
        <w:rPr>
          <w:rFonts w:cs="Times New Roman"/>
          <w:bCs/>
          <w:szCs w:val="24"/>
        </w:rPr>
        <w:t xml:space="preserve">two </w:t>
      </w:r>
      <w:r w:rsidR="00A127A7">
        <w:rPr>
          <w:rFonts w:cs="Times New Roman"/>
          <w:bCs/>
          <w:szCs w:val="24"/>
        </w:rPr>
        <w:t>years</w:t>
      </w:r>
      <w:r w:rsidR="00DB16A2">
        <w:rPr>
          <w:rFonts w:cs="Times New Roman"/>
          <w:bCs/>
          <w:szCs w:val="24"/>
        </w:rPr>
        <w:t xml:space="preserve">, with driver licenses </w:t>
      </w:r>
      <w:r w:rsidR="00986215">
        <w:rPr>
          <w:rFonts w:cs="Times New Roman"/>
          <w:bCs/>
          <w:szCs w:val="24"/>
        </w:rPr>
        <w:t xml:space="preserve">subject to renewal and </w:t>
      </w:r>
      <w:r w:rsidR="00464757">
        <w:rPr>
          <w:rFonts w:cs="Times New Roman"/>
          <w:bCs/>
          <w:szCs w:val="24"/>
        </w:rPr>
        <w:t>expir</w:t>
      </w:r>
      <w:r w:rsidR="00DB16A2">
        <w:rPr>
          <w:rFonts w:cs="Times New Roman"/>
          <w:bCs/>
          <w:szCs w:val="24"/>
        </w:rPr>
        <w:t>ing</w:t>
      </w:r>
      <w:r w:rsidR="00464757">
        <w:rPr>
          <w:rFonts w:cs="Times New Roman"/>
          <w:bCs/>
          <w:szCs w:val="24"/>
        </w:rPr>
        <w:t xml:space="preserve"> on May 31 of even-numbered years</w:t>
      </w:r>
      <w:r w:rsidR="001D55B6">
        <w:rPr>
          <w:rFonts w:cs="Times New Roman"/>
          <w:bCs/>
          <w:szCs w:val="24"/>
        </w:rPr>
        <w:t>.</w:t>
      </w:r>
      <w:r w:rsidR="001D55B6">
        <w:rPr>
          <w:rStyle w:val="FootnoteReference"/>
          <w:rFonts w:cs="Times New Roman"/>
          <w:bCs/>
          <w:szCs w:val="24"/>
        </w:rPr>
        <w:footnoteReference w:id="81"/>
      </w:r>
      <w:r w:rsidR="001D55B6">
        <w:rPr>
          <w:rFonts w:cs="Times New Roman"/>
          <w:bCs/>
          <w:szCs w:val="24"/>
        </w:rPr>
        <w:t xml:space="preserve"> </w:t>
      </w:r>
      <w:r w:rsidR="00986215">
        <w:rPr>
          <w:rFonts w:cs="Times New Roman"/>
          <w:bCs/>
          <w:szCs w:val="24"/>
        </w:rPr>
        <w:t>Carriage</w:t>
      </w:r>
      <w:r w:rsidR="00672D8A" w:rsidRPr="00275E82">
        <w:rPr>
          <w:rFonts w:cs="Times New Roman"/>
          <w:bCs/>
          <w:szCs w:val="24"/>
        </w:rPr>
        <w:t xml:space="preserve"> driver licenses may not be used by any person other than the licensed driver</w:t>
      </w:r>
      <w:r w:rsidR="0057312D">
        <w:rPr>
          <w:rFonts w:cs="Times New Roman"/>
          <w:bCs/>
          <w:szCs w:val="24"/>
        </w:rPr>
        <w:t>.</w:t>
      </w:r>
      <w:r w:rsidR="0057312D" w:rsidRPr="0057312D">
        <w:rPr>
          <w:rStyle w:val="FootnoteReference"/>
          <w:rFonts w:cs="Times New Roman"/>
          <w:bCs/>
          <w:szCs w:val="24"/>
        </w:rPr>
        <w:t xml:space="preserve"> </w:t>
      </w:r>
      <w:r w:rsidR="0057312D">
        <w:rPr>
          <w:rStyle w:val="FootnoteReference"/>
          <w:rFonts w:cs="Times New Roman"/>
          <w:bCs/>
          <w:szCs w:val="24"/>
        </w:rPr>
        <w:footnoteReference w:id="82"/>
      </w:r>
      <w:r w:rsidR="00672D8A" w:rsidRPr="00275E82">
        <w:rPr>
          <w:rFonts w:cs="Times New Roman"/>
          <w:bCs/>
          <w:szCs w:val="24"/>
        </w:rPr>
        <w:t xml:space="preserve"> </w:t>
      </w:r>
      <w:r w:rsidR="00275E82" w:rsidRPr="00275E82">
        <w:rPr>
          <w:rFonts w:cs="Times New Roman"/>
          <w:bCs/>
          <w:szCs w:val="24"/>
        </w:rPr>
        <w:t xml:space="preserve">As part of the licensing process, DCWP is required to investigate </w:t>
      </w:r>
      <w:r w:rsidR="00F37855">
        <w:rPr>
          <w:rFonts w:cs="Times New Roman"/>
          <w:bCs/>
          <w:szCs w:val="24"/>
        </w:rPr>
        <w:t xml:space="preserve">an </w:t>
      </w:r>
      <w:r w:rsidR="00275E82" w:rsidRPr="00275E82">
        <w:rPr>
          <w:rFonts w:cs="Times New Roman"/>
          <w:bCs/>
          <w:szCs w:val="24"/>
        </w:rPr>
        <w:t>applicant's character and fitness to determine whether the applicant is qualified to operate a horse-drawn ca</w:t>
      </w:r>
      <w:r w:rsidR="00275E82">
        <w:rPr>
          <w:rFonts w:cs="Times New Roman"/>
          <w:bCs/>
          <w:szCs w:val="24"/>
        </w:rPr>
        <w:t>rriage</w:t>
      </w:r>
      <w:r w:rsidR="00275E82" w:rsidRPr="00275E82">
        <w:rPr>
          <w:rFonts w:cs="Times New Roman"/>
          <w:bCs/>
          <w:szCs w:val="24"/>
        </w:rPr>
        <w:t>.</w:t>
      </w:r>
      <w:r w:rsidR="00275E82">
        <w:rPr>
          <w:rStyle w:val="FootnoteReference"/>
          <w:rFonts w:cs="Times New Roman"/>
          <w:bCs/>
          <w:szCs w:val="24"/>
        </w:rPr>
        <w:footnoteReference w:id="83"/>
      </w:r>
      <w:r w:rsidR="00275E82" w:rsidRPr="00275E82">
        <w:rPr>
          <w:rFonts w:cs="Times New Roman"/>
          <w:bCs/>
          <w:szCs w:val="24"/>
        </w:rPr>
        <w:t xml:space="preserve"> In addition, horse-drawn ca</w:t>
      </w:r>
      <w:r w:rsidR="00F37855">
        <w:rPr>
          <w:rFonts w:cs="Times New Roman"/>
          <w:bCs/>
          <w:szCs w:val="24"/>
        </w:rPr>
        <w:t>rriage</w:t>
      </w:r>
      <w:r w:rsidR="00275E82" w:rsidRPr="00275E82">
        <w:rPr>
          <w:rFonts w:cs="Times New Roman"/>
          <w:bCs/>
          <w:szCs w:val="24"/>
        </w:rPr>
        <w:t xml:space="preserve"> owners are prohibited from </w:t>
      </w:r>
      <w:r w:rsidR="00F37855">
        <w:rPr>
          <w:rFonts w:cs="Times New Roman"/>
          <w:bCs/>
          <w:szCs w:val="24"/>
        </w:rPr>
        <w:t>allowing</w:t>
      </w:r>
      <w:r w:rsidR="00275E82" w:rsidRPr="00275E82">
        <w:rPr>
          <w:rFonts w:cs="Times New Roman"/>
          <w:bCs/>
          <w:szCs w:val="24"/>
        </w:rPr>
        <w:t xml:space="preserve"> any individual to operate a </w:t>
      </w:r>
      <w:r w:rsidR="00275E82" w:rsidRPr="00275E82">
        <w:rPr>
          <w:rFonts w:cs="Times New Roman"/>
          <w:bCs/>
          <w:szCs w:val="24"/>
        </w:rPr>
        <w:lastRenderedPageBreak/>
        <w:t>horse-drawn ca</w:t>
      </w:r>
      <w:r w:rsidR="00F37855">
        <w:rPr>
          <w:rFonts w:cs="Times New Roman"/>
          <w:bCs/>
          <w:szCs w:val="24"/>
        </w:rPr>
        <w:t>rriage</w:t>
      </w:r>
      <w:r w:rsidR="00275E82" w:rsidRPr="00275E82">
        <w:rPr>
          <w:rFonts w:cs="Times New Roman"/>
          <w:bCs/>
          <w:szCs w:val="24"/>
        </w:rPr>
        <w:t xml:space="preserve"> unless that individual possesses a valid DCWP horse-drawn cab driver's license.</w:t>
      </w:r>
      <w:r w:rsidR="00F37855">
        <w:rPr>
          <w:rStyle w:val="FootnoteReference"/>
          <w:rFonts w:cs="Times New Roman"/>
          <w:bCs/>
          <w:szCs w:val="24"/>
        </w:rPr>
        <w:footnoteReference w:id="84"/>
      </w:r>
      <w:r w:rsidR="00E71559">
        <w:rPr>
          <w:rFonts w:cs="Times New Roman"/>
          <w:bCs/>
          <w:szCs w:val="24"/>
        </w:rPr>
        <w:t xml:space="preserve"> </w:t>
      </w:r>
    </w:p>
    <w:p w14:paraId="62CDD6F2" w14:textId="49F2DB28" w:rsidR="00E71559" w:rsidRDefault="00E71559" w:rsidP="00E71559">
      <w:pPr>
        <w:spacing w:after="0" w:line="480" w:lineRule="auto"/>
        <w:rPr>
          <w:rFonts w:cs="Times New Roman"/>
          <w:bCs/>
          <w:szCs w:val="24"/>
        </w:rPr>
      </w:pPr>
      <w:r>
        <w:rPr>
          <w:rFonts w:cs="Times New Roman"/>
          <w:bCs/>
          <w:szCs w:val="24"/>
        </w:rPr>
        <w:tab/>
        <w:t>Under Title 20, a</w:t>
      </w:r>
      <w:r w:rsidRPr="00F37855">
        <w:rPr>
          <w:rFonts w:cs="Times New Roman"/>
          <w:bCs/>
          <w:szCs w:val="24"/>
        </w:rPr>
        <w:t>pplicants who have not previously held a horse-drawn ca</w:t>
      </w:r>
      <w:r>
        <w:rPr>
          <w:rFonts w:cs="Times New Roman"/>
          <w:bCs/>
          <w:szCs w:val="24"/>
        </w:rPr>
        <w:t>rriage</w:t>
      </w:r>
      <w:r w:rsidRPr="00F37855">
        <w:rPr>
          <w:rFonts w:cs="Times New Roman"/>
          <w:bCs/>
          <w:szCs w:val="24"/>
        </w:rPr>
        <w:t xml:space="preserve"> driver's license </w:t>
      </w:r>
      <w:r>
        <w:rPr>
          <w:rFonts w:cs="Times New Roman"/>
          <w:bCs/>
          <w:szCs w:val="24"/>
        </w:rPr>
        <w:t>may be</w:t>
      </w:r>
      <w:r w:rsidRPr="00F37855">
        <w:rPr>
          <w:rFonts w:cs="Times New Roman"/>
          <w:bCs/>
          <w:szCs w:val="24"/>
        </w:rPr>
        <w:t xml:space="preserve"> issued a </w:t>
      </w:r>
      <w:r w:rsidRPr="00F37855">
        <w:rPr>
          <w:rFonts w:cs="Times New Roman"/>
          <w:szCs w:val="24"/>
        </w:rPr>
        <w:t>probationary license</w:t>
      </w:r>
      <w:r w:rsidRPr="00F37855">
        <w:rPr>
          <w:rFonts w:cs="Times New Roman"/>
          <w:bCs/>
          <w:szCs w:val="24"/>
        </w:rPr>
        <w:t xml:space="preserve"> </w:t>
      </w:r>
      <w:r>
        <w:rPr>
          <w:rFonts w:cs="Times New Roman"/>
          <w:bCs/>
          <w:szCs w:val="24"/>
        </w:rPr>
        <w:t xml:space="preserve">by DCWP </w:t>
      </w:r>
      <w:r w:rsidRPr="00F37855">
        <w:rPr>
          <w:rFonts w:cs="Times New Roman"/>
          <w:bCs/>
          <w:szCs w:val="24"/>
        </w:rPr>
        <w:t xml:space="preserve">upon approval of their </w:t>
      </w:r>
      <w:r>
        <w:rPr>
          <w:rFonts w:cs="Times New Roman"/>
          <w:bCs/>
          <w:szCs w:val="24"/>
        </w:rPr>
        <w:t xml:space="preserve">carriage operation </w:t>
      </w:r>
      <w:r w:rsidRPr="00F37855">
        <w:rPr>
          <w:rFonts w:cs="Times New Roman"/>
          <w:bCs/>
          <w:szCs w:val="24"/>
        </w:rPr>
        <w:t>application.</w:t>
      </w:r>
      <w:r>
        <w:rPr>
          <w:rStyle w:val="FootnoteReference"/>
          <w:rFonts w:cs="Times New Roman"/>
          <w:bCs/>
          <w:szCs w:val="24"/>
        </w:rPr>
        <w:footnoteReference w:id="85"/>
      </w:r>
      <w:r w:rsidRPr="00F37855">
        <w:rPr>
          <w:rFonts w:cs="Times New Roman"/>
          <w:bCs/>
          <w:szCs w:val="24"/>
        </w:rPr>
        <w:t xml:space="preserve"> The probationary license is valid for six months and may be revoked for violations</w:t>
      </w:r>
      <w:r>
        <w:rPr>
          <w:rFonts w:cs="Times New Roman"/>
          <w:bCs/>
          <w:szCs w:val="24"/>
        </w:rPr>
        <w:t xml:space="preserve"> of applicable local or State law.</w:t>
      </w:r>
      <w:r>
        <w:rPr>
          <w:rStyle w:val="FootnoteReference"/>
          <w:rFonts w:cs="Times New Roman"/>
          <w:bCs/>
          <w:szCs w:val="24"/>
        </w:rPr>
        <w:footnoteReference w:id="86"/>
      </w:r>
      <w:r w:rsidRPr="00F37855">
        <w:rPr>
          <w:rFonts w:cs="Times New Roman"/>
          <w:bCs/>
          <w:szCs w:val="24"/>
        </w:rPr>
        <w:t xml:space="preserve"> During the probationary period, licensees may accompany a licensed horse-drawn ca</w:t>
      </w:r>
      <w:r>
        <w:rPr>
          <w:rFonts w:cs="Times New Roman"/>
          <w:bCs/>
          <w:szCs w:val="24"/>
        </w:rPr>
        <w:t>rriage</w:t>
      </w:r>
      <w:r w:rsidRPr="00F37855">
        <w:rPr>
          <w:rFonts w:cs="Times New Roman"/>
          <w:bCs/>
          <w:szCs w:val="24"/>
        </w:rPr>
        <w:t xml:space="preserve"> driver to gain </w:t>
      </w:r>
      <w:r>
        <w:rPr>
          <w:rFonts w:cs="Times New Roman"/>
          <w:bCs/>
          <w:szCs w:val="24"/>
        </w:rPr>
        <w:t xml:space="preserve">the required </w:t>
      </w:r>
      <w:r w:rsidRPr="00F37855">
        <w:rPr>
          <w:rFonts w:cs="Times New Roman"/>
          <w:bCs/>
          <w:szCs w:val="24"/>
        </w:rPr>
        <w:t>experience.</w:t>
      </w:r>
      <w:r>
        <w:rPr>
          <w:rStyle w:val="FootnoteReference"/>
          <w:rFonts w:cs="Times New Roman"/>
          <w:bCs/>
          <w:szCs w:val="24"/>
        </w:rPr>
        <w:footnoteReference w:id="87"/>
      </w:r>
      <w:r w:rsidRPr="00F37855">
        <w:rPr>
          <w:rFonts w:cs="Times New Roman"/>
          <w:bCs/>
          <w:szCs w:val="24"/>
        </w:rPr>
        <w:t xml:space="preserve"> Until the probationary licensee has accrued 80 hours of operating experience, the licensee may operate a horse-drawn ca</w:t>
      </w:r>
      <w:r>
        <w:rPr>
          <w:rFonts w:cs="Times New Roman"/>
          <w:bCs/>
          <w:szCs w:val="24"/>
        </w:rPr>
        <w:t>rriage</w:t>
      </w:r>
      <w:r w:rsidRPr="00F37855">
        <w:rPr>
          <w:rFonts w:cs="Times New Roman"/>
          <w:bCs/>
          <w:szCs w:val="24"/>
        </w:rPr>
        <w:t xml:space="preserve"> only at staging areas immediately adjacent to Central Park and on roadways or paths located </w:t>
      </w:r>
      <w:r>
        <w:rPr>
          <w:rFonts w:cs="Times New Roman"/>
          <w:bCs/>
          <w:szCs w:val="24"/>
        </w:rPr>
        <w:t>in the Park</w:t>
      </w:r>
      <w:r w:rsidRPr="00F37855">
        <w:rPr>
          <w:rFonts w:cs="Times New Roman"/>
          <w:bCs/>
          <w:szCs w:val="24"/>
        </w:rPr>
        <w:t>.</w:t>
      </w:r>
      <w:r>
        <w:rPr>
          <w:rStyle w:val="FootnoteReference"/>
          <w:rFonts w:cs="Times New Roman"/>
          <w:bCs/>
          <w:szCs w:val="24"/>
        </w:rPr>
        <w:footnoteReference w:id="88"/>
      </w:r>
      <w:r w:rsidRPr="00F37855">
        <w:rPr>
          <w:rFonts w:cs="Times New Roman"/>
          <w:bCs/>
          <w:szCs w:val="24"/>
        </w:rPr>
        <w:t xml:space="preserve"> After completing 80 hours of driving experience, the probationary licensee may operate a horse-drawn ca</w:t>
      </w:r>
      <w:r>
        <w:rPr>
          <w:rFonts w:cs="Times New Roman"/>
          <w:bCs/>
          <w:szCs w:val="24"/>
        </w:rPr>
        <w:t>rriage</w:t>
      </w:r>
      <w:r w:rsidRPr="00F37855">
        <w:rPr>
          <w:rFonts w:cs="Times New Roman"/>
          <w:bCs/>
          <w:szCs w:val="24"/>
        </w:rPr>
        <w:t xml:space="preserve"> to or from a licensed stable</w:t>
      </w:r>
      <w:r>
        <w:rPr>
          <w:rFonts w:cs="Times New Roman"/>
          <w:bCs/>
          <w:szCs w:val="24"/>
        </w:rPr>
        <w:t xml:space="preserve"> in Midtown Manhattan.</w:t>
      </w:r>
      <w:r>
        <w:rPr>
          <w:rStyle w:val="FootnoteReference"/>
          <w:rFonts w:cs="Times New Roman"/>
          <w:bCs/>
          <w:szCs w:val="24"/>
        </w:rPr>
        <w:footnoteReference w:id="89"/>
      </w:r>
    </w:p>
    <w:p w14:paraId="776AE1E3" w14:textId="4A1DE9A5" w:rsidR="00C579CD" w:rsidRDefault="00C579CD" w:rsidP="00C579CD">
      <w:pPr>
        <w:spacing w:after="0" w:line="480" w:lineRule="auto"/>
        <w:rPr>
          <w:rFonts w:cs="Times New Roman"/>
          <w:bCs/>
          <w:szCs w:val="24"/>
        </w:rPr>
      </w:pPr>
      <w:r>
        <w:rPr>
          <w:rFonts w:cs="Times New Roman"/>
          <w:bCs/>
          <w:szCs w:val="24"/>
        </w:rPr>
        <w:tab/>
      </w:r>
      <w:r w:rsidR="00C678F2">
        <w:rPr>
          <w:rFonts w:cs="Times New Roman"/>
          <w:bCs/>
          <w:szCs w:val="24"/>
        </w:rPr>
        <w:t xml:space="preserve">DCWP </w:t>
      </w:r>
      <w:r>
        <w:rPr>
          <w:rFonts w:cs="Times New Roman"/>
          <w:bCs/>
          <w:szCs w:val="24"/>
        </w:rPr>
        <w:t xml:space="preserve">promulgates and </w:t>
      </w:r>
      <w:r w:rsidR="00C678F2">
        <w:rPr>
          <w:rFonts w:cs="Times New Roman"/>
          <w:bCs/>
          <w:szCs w:val="24"/>
        </w:rPr>
        <w:t>administers regulations pursuant to Title 20.</w:t>
      </w:r>
      <w:r w:rsidR="00C678F2">
        <w:rPr>
          <w:rStyle w:val="FootnoteReference"/>
          <w:rFonts w:cs="Times New Roman"/>
          <w:bCs/>
          <w:szCs w:val="24"/>
        </w:rPr>
        <w:footnoteReference w:id="90"/>
      </w:r>
      <w:r w:rsidR="00C678F2">
        <w:rPr>
          <w:rFonts w:cs="Times New Roman"/>
          <w:bCs/>
          <w:szCs w:val="24"/>
        </w:rPr>
        <w:t xml:space="preserve"> DCWP’s rules outline license plate placement requirements, fare signage, recordkeeping and driver identification requirements, and </w:t>
      </w:r>
      <w:r w:rsidR="004D2260">
        <w:rPr>
          <w:rFonts w:cs="Times New Roman"/>
          <w:bCs/>
          <w:szCs w:val="24"/>
        </w:rPr>
        <w:t xml:space="preserve">previously discussed </w:t>
      </w:r>
      <w:r w:rsidR="00C678F2">
        <w:rPr>
          <w:rFonts w:cs="Times New Roman"/>
          <w:bCs/>
          <w:szCs w:val="24"/>
        </w:rPr>
        <w:t xml:space="preserve">carriage operation hours and horse work-hour requirements, which </w:t>
      </w:r>
      <w:r w:rsidR="00A825BE">
        <w:rPr>
          <w:rFonts w:cs="Times New Roman"/>
          <w:bCs/>
          <w:szCs w:val="24"/>
        </w:rPr>
        <w:t xml:space="preserve">are identical to the requirements </w:t>
      </w:r>
      <w:r w:rsidR="00C678F2">
        <w:rPr>
          <w:rFonts w:cs="Times New Roman"/>
          <w:bCs/>
          <w:szCs w:val="24"/>
        </w:rPr>
        <w:t>found in Title 20.</w:t>
      </w:r>
      <w:r w:rsidR="00C678F2">
        <w:rPr>
          <w:rStyle w:val="FootnoteReference"/>
          <w:rFonts w:cs="Times New Roman"/>
          <w:bCs/>
          <w:szCs w:val="24"/>
        </w:rPr>
        <w:footnoteReference w:id="91"/>
      </w:r>
    </w:p>
    <w:p w14:paraId="17B52D8B" w14:textId="426F5DAD" w:rsidR="007D6A75" w:rsidRPr="008D618A" w:rsidRDefault="00AC50C4" w:rsidP="008D618A">
      <w:pPr>
        <w:pStyle w:val="ListParagraph"/>
        <w:numPr>
          <w:ilvl w:val="2"/>
          <w:numId w:val="3"/>
        </w:numPr>
        <w:spacing w:after="0" w:line="480" w:lineRule="auto"/>
        <w:rPr>
          <w:rFonts w:cs="Times New Roman"/>
          <w:b/>
          <w:szCs w:val="24"/>
        </w:rPr>
      </w:pPr>
      <w:r w:rsidRPr="008D618A">
        <w:rPr>
          <w:rFonts w:cs="Times New Roman"/>
          <w:b/>
          <w:szCs w:val="24"/>
        </w:rPr>
        <w:t>Department of Transportation Rules</w:t>
      </w:r>
    </w:p>
    <w:p w14:paraId="45CFF92D" w14:textId="59B6FA6F" w:rsidR="007927FC" w:rsidRPr="009C3EF1" w:rsidRDefault="007D6A75" w:rsidP="00626569">
      <w:pPr>
        <w:spacing w:after="0" w:line="480" w:lineRule="auto"/>
        <w:ind w:firstLine="720"/>
        <w:contextualSpacing/>
        <w:rPr>
          <w:rFonts w:cs="Times New Roman"/>
        </w:rPr>
      </w:pPr>
      <w:r w:rsidRPr="007D6A75">
        <w:rPr>
          <w:rFonts w:cs="Times New Roman"/>
        </w:rPr>
        <w:t>New York City traffic rules require horse-drawn carriage operators to continuously hold the reins while driving a carriage.</w:t>
      </w:r>
      <w:r w:rsidR="00F2034A">
        <w:rPr>
          <w:rStyle w:val="FootnoteReference"/>
          <w:rFonts w:cs="Times New Roman"/>
        </w:rPr>
        <w:footnoteReference w:id="92"/>
      </w:r>
      <w:r w:rsidRPr="007D6A75">
        <w:rPr>
          <w:rFonts w:cs="Times New Roman"/>
        </w:rPr>
        <w:t xml:space="preserve"> The rules also generally prohibit operators from soliciting, picking up, or discharging passengers outside of designated horse-drawn cab passenger boarding </w:t>
      </w:r>
      <w:r w:rsidRPr="007D6A75">
        <w:rPr>
          <w:rFonts w:cs="Times New Roman"/>
        </w:rPr>
        <w:lastRenderedPageBreak/>
        <w:t>areas, except for prearranged rides.</w:t>
      </w:r>
      <w:r w:rsidR="009C3EF1">
        <w:rPr>
          <w:rStyle w:val="FootnoteReference"/>
          <w:rFonts w:cs="Times New Roman"/>
        </w:rPr>
        <w:footnoteReference w:id="93"/>
      </w:r>
      <w:r w:rsidRPr="007D6A75">
        <w:rPr>
          <w:rFonts w:cs="Times New Roman"/>
        </w:rPr>
        <w:t xml:space="preserve"> Designated boarding areas are located within Central Park at Grand Army Plaza, the Seventh Avenue entrance, and Sixth Avenue between 59th Street and Center Drive.</w:t>
      </w:r>
      <w:r w:rsidR="009C3EF1">
        <w:rPr>
          <w:rStyle w:val="FootnoteReference"/>
          <w:rFonts w:cs="Times New Roman"/>
        </w:rPr>
        <w:footnoteReference w:id="94"/>
      </w:r>
      <w:r w:rsidRPr="007D6A75">
        <w:rPr>
          <w:rFonts w:cs="Times New Roman"/>
        </w:rPr>
        <w:t xml:space="preserve"> In exceptional circumstances, the designated boarding areas may be temporarily relocated or suspended due to construction, maintenance, unusually heavy pedestrian or bicycle traffic, obstructions, parades, demonstrations, special events, or similar conditions.</w:t>
      </w:r>
      <w:r w:rsidR="009C3EF1">
        <w:rPr>
          <w:rStyle w:val="FootnoteReference"/>
          <w:rFonts w:cs="Times New Roman"/>
        </w:rPr>
        <w:footnoteReference w:id="95"/>
      </w:r>
    </w:p>
    <w:p w14:paraId="685DDC6A" w14:textId="0E5A3697" w:rsidR="00C579CD" w:rsidRPr="00C579CD" w:rsidRDefault="00C579CD" w:rsidP="00E37395">
      <w:pPr>
        <w:pStyle w:val="ListParagraph"/>
        <w:numPr>
          <w:ilvl w:val="2"/>
          <w:numId w:val="3"/>
        </w:numPr>
        <w:spacing w:after="0" w:line="480" w:lineRule="auto"/>
        <w:rPr>
          <w:rFonts w:cs="Times New Roman"/>
          <w:bCs/>
          <w:szCs w:val="24"/>
        </w:rPr>
      </w:pPr>
      <w:r>
        <w:rPr>
          <w:rFonts w:cs="Times New Roman"/>
          <w:b/>
          <w:szCs w:val="24"/>
        </w:rPr>
        <w:t xml:space="preserve">Previous </w:t>
      </w:r>
      <w:r w:rsidR="00E54BC4">
        <w:rPr>
          <w:rFonts w:cs="Times New Roman"/>
          <w:b/>
          <w:szCs w:val="24"/>
        </w:rPr>
        <w:t xml:space="preserve">Legislative </w:t>
      </w:r>
      <w:r>
        <w:rPr>
          <w:rFonts w:cs="Times New Roman"/>
          <w:b/>
          <w:szCs w:val="24"/>
        </w:rPr>
        <w:t>Action</w:t>
      </w:r>
    </w:p>
    <w:p w14:paraId="5DFE19D2" w14:textId="0765E443" w:rsidR="006B19FC" w:rsidRDefault="00FE76AB" w:rsidP="00933352">
      <w:pPr>
        <w:spacing w:after="0" w:line="480" w:lineRule="auto"/>
      </w:pPr>
      <w:r>
        <w:tab/>
      </w:r>
      <w:r w:rsidR="005745A4">
        <w:t>Over the past 46 years, the Council and previous Mayoral Administrations have made iterative changes to the legal framework governing the horse carriage industry</w:t>
      </w:r>
      <w:r>
        <w:t>.</w:t>
      </w:r>
      <w:r>
        <w:rPr>
          <w:rStyle w:val="FootnoteReference"/>
        </w:rPr>
        <w:footnoteReference w:id="96"/>
      </w:r>
      <w:r>
        <w:t xml:space="preserve"> These local laws</w:t>
      </w:r>
      <w:r w:rsidR="00CD4E38">
        <w:t xml:space="preserve"> </w:t>
      </w:r>
      <w:r w:rsidR="0020007A">
        <w:t xml:space="preserve">and regulations have </w:t>
      </w:r>
      <w:r w:rsidR="00CD4E38">
        <w:t>sought to address</w:t>
      </w:r>
      <w:r>
        <w:t xml:space="preserve"> stable conditions, </w:t>
      </w:r>
      <w:r w:rsidR="00384C3D">
        <w:t xml:space="preserve">horse </w:t>
      </w:r>
      <w:r>
        <w:t xml:space="preserve">work-hour limitations, weather-related operating </w:t>
      </w:r>
      <w:r w:rsidR="00384C3D">
        <w:t>considerations</w:t>
      </w:r>
      <w:r>
        <w:t xml:space="preserve">, licensing processes, </w:t>
      </w:r>
      <w:r w:rsidR="00384C3D">
        <w:t xml:space="preserve">carriage </w:t>
      </w:r>
      <w:r>
        <w:t>operator training</w:t>
      </w:r>
      <w:r w:rsidR="00384C3D">
        <w:t>s</w:t>
      </w:r>
      <w:r>
        <w:t>, and enforcement</w:t>
      </w:r>
      <w:r w:rsidR="00384C3D">
        <w:t xml:space="preserve"> actions</w:t>
      </w:r>
      <w:r w:rsidR="0020007A">
        <w:t xml:space="preserve">, among other </w:t>
      </w:r>
      <w:r w:rsidR="00EC23AF">
        <w:t>issues</w:t>
      </w:r>
      <w:r>
        <w:t>.</w:t>
      </w:r>
      <w:r>
        <w:rPr>
          <w:rStyle w:val="FootnoteReference"/>
        </w:rPr>
        <w:footnoteReference w:id="97"/>
      </w:r>
    </w:p>
    <w:p w14:paraId="7E0E21E2" w14:textId="4CDB1B8A" w:rsidR="009F55A9" w:rsidRDefault="006B19FC" w:rsidP="006B19FC">
      <w:pPr>
        <w:spacing w:after="0" w:line="480" w:lineRule="auto"/>
      </w:pPr>
      <w:r>
        <w:tab/>
      </w:r>
      <w:r w:rsidR="008E7A85">
        <w:t xml:space="preserve">In 1981, </w:t>
      </w:r>
      <w:r w:rsidR="00C25570">
        <w:t>the Council enacted Local Law 4</w:t>
      </w:r>
      <w:r w:rsidR="00CD66C0">
        <w:t xml:space="preserve">, also known as the </w:t>
      </w:r>
      <w:r w:rsidR="00066504">
        <w:t>Horse Licensing and Protection Law</w:t>
      </w:r>
      <w:r w:rsidR="00746E25">
        <w:t xml:space="preserve"> (“HLPL”)</w:t>
      </w:r>
      <w:r w:rsidR="000C77AD">
        <w:t xml:space="preserve">, which established the City’s first modern regulatory framework for </w:t>
      </w:r>
      <w:r w:rsidR="00E37395">
        <w:t>carriage horses</w:t>
      </w:r>
      <w:r w:rsidR="0024431D">
        <w:t>.</w:t>
      </w:r>
      <w:r w:rsidR="0024431D">
        <w:rPr>
          <w:rStyle w:val="FootnoteReference"/>
        </w:rPr>
        <w:footnoteReference w:id="98"/>
      </w:r>
      <w:r w:rsidR="000C77AD">
        <w:t xml:space="preserve"> This law implemented work-hour caps for carriage horses, required working horses to be registered and licensed with the City, implemented </w:t>
      </w:r>
      <w:r w:rsidR="00130247">
        <w:t>maximum pace restrictions</w:t>
      </w:r>
      <w:r w:rsidR="00BE16BF">
        <w:t xml:space="preserve">, </w:t>
      </w:r>
      <w:r w:rsidR="004C3182">
        <w:t>prohibited owners from working horses during extreme weather conditions, and created the Rental Horse Advisory Board.</w:t>
      </w:r>
      <w:r w:rsidR="004C3182">
        <w:rPr>
          <w:rStyle w:val="FootnoteReference"/>
        </w:rPr>
        <w:footnoteReference w:id="99"/>
      </w:r>
      <w:r w:rsidR="00FA4305">
        <w:t xml:space="preserve"> </w:t>
      </w:r>
      <w:r w:rsidR="003765DC">
        <w:t xml:space="preserve">On July 18, </w:t>
      </w:r>
      <w:r w:rsidR="00FA4305">
        <w:t xml:space="preserve">1982, </w:t>
      </w:r>
      <w:r w:rsidR="003765DC">
        <w:t>three carriage horses died</w:t>
      </w:r>
      <w:r w:rsidR="00B55C3C">
        <w:t xml:space="preserve"> during a heat wave</w:t>
      </w:r>
      <w:r w:rsidR="00746E25">
        <w:t xml:space="preserve">, </w:t>
      </w:r>
      <w:r w:rsidR="00746E25">
        <w:lastRenderedPageBreak/>
        <w:t>prompting the Council to criticize DOHMH for failing to enforce the HLPL</w:t>
      </w:r>
      <w:r w:rsidR="004039FB">
        <w:t>.</w:t>
      </w:r>
      <w:r w:rsidR="00237CDA">
        <w:rPr>
          <w:rStyle w:val="FootnoteReference"/>
        </w:rPr>
        <w:footnoteReference w:id="100"/>
      </w:r>
      <w:r w:rsidR="00183AB7">
        <w:t xml:space="preserve"> </w:t>
      </w:r>
      <w:r w:rsidR="00F70E48">
        <w:t>For example, t</w:t>
      </w:r>
      <w:r w:rsidR="00183AB7">
        <w:t xml:space="preserve">he Rental Horse Advisory Board had not been established by July 1982 despite </w:t>
      </w:r>
      <w:r w:rsidR="002A700E">
        <w:t xml:space="preserve">a January 1, 1982 effective date for the </w:t>
      </w:r>
      <w:r w:rsidR="00E12B30">
        <w:t>HLPL.</w:t>
      </w:r>
      <w:r w:rsidR="00E12B30">
        <w:rPr>
          <w:rStyle w:val="FootnoteReference"/>
        </w:rPr>
        <w:footnoteReference w:id="101"/>
      </w:r>
    </w:p>
    <w:p w14:paraId="5BBE9EF3" w14:textId="0225EFEE" w:rsidR="00DE3672" w:rsidRDefault="00DE3672" w:rsidP="006B19FC">
      <w:pPr>
        <w:spacing w:after="0" w:line="480" w:lineRule="auto"/>
      </w:pPr>
      <w:r>
        <w:tab/>
        <w:t>In 1983, the Council</w:t>
      </w:r>
      <w:r w:rsidR="00875880">
        <w:t xml:space="preserve"> proposed the first iteration of legislation to completely prohibit horse-drawn carriages from all City streets and restrict their operation to the interior</w:t>
      </w:r>
      <w:r w:rsidR="00D01F4D">
        <w:t xml:space="preserve"> </w:t>
      </w:r>
      <w:r w:rsidR="00875880">
        <w:t>paths of Central Park.</w:t>
      </w:r>
      <w:r w:rsidR="00BF4DD2">
        <w:rPr>
          <w:rStyle w:val="FootnoteReference"/>
        </w:rPr>
        <w:footnoteReference w:id="102"/>
      </w:r>
      <w:r w:rsidR="004678DE">
        <w:t xml:space="preserve"> Then-Mayor Ed Koch </w:t>
      </w:r>
      <w:r w:rsidR="0094255B">
        <w:t xml:space="preserve">opposed the legislation and counter-proposed a bill to </w:t>
      </w:r>
      <w:r w:rsidR="00E56B71">
        <w:t xml:space="preserve">restrict horse carriages from operating in Midtown Manhattan for </w:t>
      </w:r>
      <w:r w:rsidR="007302D7">
        <w:t>four hours per day</w:t>
      </w:r>
      <w:r w:rsidR="000B3967">
        <w:t xml:space="preserve"> during peak traffic hours.</w:t>
      </w:r>
      <w:r w:rsidR="008A13EC">
        <w:rPr>
          <w:rStyle w:val="FootnoteReference"/>
        </w:rPr>
        <w:footnoteReference w:id="103"/>
      </w:r>
      <w:r w:rsidR="008A13EC">
        <w:t xml:space="preserve"> </w:t>
      </w:r>
      <w:r w:rsidR="008A13EC" w:rsidRPr="008A13EC">
        <w:t xml:space="preserve">Koch explicitly stated that entirely banning </w:t>
      </w:r>
      <w:r w:rsidR="008A13EC">
        <w:t xml:space="preserve">carriage horses </w:t>
      </w:r>
      <w:r w:rsidR="008A13EC" w:rsidRPr="008A13EC">
        <w:t xml:space="preserve">from the </w:t>
      </w:r>
      <w:r w:rsidR="008A13EC">
        <w:t xml:space="preserve">City street </w:t>
      </w:r>
      <w:r w:rsidR="008A13EC" w:rsidRPr="008A13EC">
        <w:t>grid "went too far" and would unduly harm the drivers' livelihoods</w:t>
      </w:r>
      <w:r w:rsidR="008A13EC">
        <w:t>.</w:t>
      </w:r>
      <w:r w:rsidR="008A13EC">
        <w:rPr>
          <w:rStyle w:val="FootnoteReference"/>
        </w:rPr>
        <w:footnoteReference w:id="104"/>
      </w:r>
      <w:r w:rsidR="008A13EC">
        <w:t xml:space="preserve"> Ultimately, </w:t>
      </w:r>
      <w:r w:rsidR="00AC65D2">
        <w:t>the City did not enact either bill</w:t>
      </w:r>
      <w:r w:rsidR="00342560">
        <w:t xml:space="preserve">, and no further legislative action </w:t>
      </w:r>
      <w:r w:rsidR="009027A5">
        <w:t>on the horse carriage issue</w:t>
      </w:r>
      <w:r w:rsidR="00342560">
        <w:t xml:space="preserve"> occurred until </w:t>
      </w:r>
      <w:r w:rsidR="00C63D54">
        <w:t>later that decade.</w:t>
      </w:r>
      <w:r w:rsidR="00C63D54">
        <w:rPr>
          <w:rStyle w:val="FootnoteReference"/>
        </w:rPr>
        <w:footnoteReference w:id="105"/>
      </w:r>
    </w:p>
    <w:p w14:paraId="47EC4D0C" w14:textId="5978C6B4" w:rsidR="00C678F2" w:rsidRDefault="006B19FC" w:rsidP="00933352">
      <w:pPr>
        <w:spacing w:after="0" w:line="480" w:lineRule="auto"/>
      </w:pPr>
      <w:r>
        <w:tab/>
        <w:t>In 1988, three carriage horses died in a heat wave.</w:t>
      </w:r>
      <w:r w:rsidR="00FE46EE">
        <w:rPr>
          <w:rStyle w:val="FootnoteReference"/>
        </w:rPr>
        <w:footnoteReference w:id="106"/>
      </w:r>
      <w:r>
        <w:t xml:space="preserve"> In response, the Council enacted </w:t>
      </w:r>
      <w:r w:rsidR="003A6339">
        <w:t>Local Law 89 of 1989,</w:t>
      </w:r>
      <w:r>
        <w:t xml:space="preserve"> </w:t>
      </w:r>
      <w:r w:rsidR="003A6339">
        <w:t>which regulates</w:t>
      </w:r>
      <w:r>
        <w:t xml:space="preserve"> carriage horses “in order to minimize traffic congestion and to assure the health and safety of motorists and pedestrians.”</w:t>
      </w:r>
      <w:r w:rsidR="000246FC">
        <w:rPr>
          <w:rStyle w:val="FootnoteReference"/>
        </w:rPr>
        <w:footnoteReference w:id="107"/>
      </w:r>
      <w:r>
        <w:t xml:space="preserve"> </w:t>
      </w:r>
      <w:r w:rsidR="00821AFA">
        <w:t>The Council’s</w:t>
      </w:r>
      <w:r>
        <w:t xml:space="preserve"> legislative findings note</w:t>
      </w:r>
      <w:r w:rsidR="00821AFA">
        <w:t>d at</w:t>
      </w:r>
      <w:r>
        <w:t xml:space="preserve"> the </w:t>
      </w:r>
      <w:r w:rsidR="00821AFA">
        <w:t>time</w:t>
      </w:r>
      <w:r>
        <w:t xml:space="preserve"> that “[t]he presence of horse drawn carriages in areas where there is traffic congestion jeopardizes the safety of the horses and increases the possibility of accidents.”</w:t>
      </w:r>
      <w:r w:rsidR="00821AFA">
        <w:rPr>
          <w:rStyle w:val="FootnoteReference"/>
        </w:rPr>
        <w:footnoteReference w:id="108"/>
      </w:r>
    </w:p>
    <w:p w14:paraId="2FF2B12C" w14:textId="73F50F42" w:rsidR="004C3F66" w:rsidRDefault="00C672AD" w:rsidP="00C672AD">
      <w:pPr>
        <w:spacing w:after="0" w:line="480" w:lineRule="auto"/>
      </w:pPr>
      <w:r>
        <w:lastRenderedPageBreak/>
        <w:tab/>
        <w:t>In 2007, the New York City Comptroller published a</w:t>
      </w:r>
      <w:r w:rsidR="0060414C">
        <w:t>n audit and</w:t>
      </w:r>
      <w:r>
        <w:t xml:space="preserve"> report critical of the City’s enforcement of the laws regulating the carriage-horse industry</w:t>
      </w:r>
      <w:r w:rsidR="00193F0B">
        <w:t>.</w:t>
      </w:r>
      <w:r w:rsidR="00193F0B">
        <w:rPr>
          <w:rStyle w:val="FootnoteReference"/>
        </w:rPr>
        <w:footnoteReference w:id="109"/>
      </w:r>
      <w:r>
        <w:t xml:space="preserve"> </w:t>
      </w:r>
      <w:r w:rsidR="001433CA">
        <w:t>Notably, the audit found that, d</w:t>
      </w:r>
      <w:r w:rsidR="001433CA" w:rsidRPr="001433CA">
        <w:t xml:space="preserve">uring Fiscal Year 2006, </w:t>
      </w:r>
      <w:r w:rsidR="001433CA">
        <w:t>“</w:t>
      </w:r>
      <w:r w:rsidR="001433CA" w:rsidRPr="001433CA">
        <w:t>DOHMH</w:t>
      </w:r>
      <w:r w:rsidR="001433CA">
        <w:t>’s</w:t>
      </w:r>
      <w:r w:rsidR="001433CA" w:rsidRPr="001433CA">
        <w:t xml:space="preserve"> veterinarian consultant did not examine the condition of any of the horses in the field, and </w:t>
      </w:r>
      <w:r w:rsidR="00B223C7">
        <w:t>[DCWP]</w:t>
      </w:r>
      <w:r w:rsidR="001433CA" w:rsidRPr="001433CA">
        <w:t xml:space="preserve"> inspectors did not perform the required number of inspections of the horse-drawn carriages.</w:t>
      </w:r>
      <w:r w:rsidR="001433CA">
        <w:t>”</w:t>
      </w:r>
      <w:r w:rsidR="001433CA">
        <w:rPr>
          <w:rStyle w:val="FootnoteReference"/>
        </w:rPr>
        <w:footnoteReference w:id="110"/>
      </w:r>
      <w:r>
        <w:t xml:space="preserve"> </w:t>
      </w:r>
      <w:r w:rsidR="00DB19B2">
        <w:t>Additionally, the audit found that</w:t>
      </w:r>
      <w:r w:rsidR="00AC65D2">
        <w:t xml:space="preserve"> DOHMH had not convened</w:t>
      </w:r>
      <w:r w:rsidR="00DB19B2">
        <w:t xml:space="preserve"> the R</w:t>
      </w:r>
      <w:r w:rsidR="0012478E">
        <w:t xml:space="preserve">ental Horse </w:t>
      </w:r>
      <w:r w:rsidR="00DB19B2" w:rsidRPr="00DB19B2">
        <w:t xml:space="preserve">Advisory Board </w:t>
      </w:r>
      <w:r w:rsidR="006452BA">
        <w:t>.</w:t>
      </w:r>
      <w:r w:rsidR="006452BA">
        <w:rPr>
          <w:rStyle w:val="FootnoteReference"/>
        </w:rPr>
        <w:footnoteReference w:id="111"/>
      </w:r>
    </w:p>
    <w:p w14:paraId="6BA587CC" w14:textId="0E6D00BF" w:rsidR="00C672AD" w:rsidRDefault="004C3F66" w:rsidP="00C672AD">
      <w:pPr>
        <w:spacing w:after="0" w:line="480" w:lineRule="auto"/>
      </w:pPr>
      <w:r>
        <w:tab/>
        <w:t>Partially in response to</w:t>
      </w:r>
      <w:r w:rsidR="006452BA">
        <w:t xml:space="preserve"> </w:t>
      </w:r>
      <w:r w:rsidR="00C672AD">
        <w:t xml:space="preserve">the </w:t>
      </w:r>
      <w:r>
        <w:t xml:space="preserve">audit, </w:t>
      </w:r>
      <w:r w:rsidR="00C672AD">
        <w:t>the</w:t>
      </w:r>
      <w:r>
        <w:t xml:space="preserve"> </w:t>
      </w:r>
      <w:r w:rsidR="00C672AD">
        <w:t xml:space="preserve">Council </w:t>
      </w:r>
      <w:r>
        <w:t>enacted Local Law</w:t>
      </w:r>
      <w:r w:rsidR="00C672AD">
        <w:t xml:space="preserve"> </w:t>
      </w:r>
      <w:r w:rsidR="00BD0F5E">
        <w:t>10 of 2010.</w:t>
      </w:r>
      <w:r w:rsidR="00BD0F5E">
        <w:rPr>
          <w:rStyle w:val="FootnoteReference"/>
        </w:rPr>
        <w:footnoteReference w:id="112"/>
      </w:r>
      <w:r w:rsidR="00BD0F5E">
        <w:t xml:space="preserve"> This bill </w:t>
      </w:r>
      <w:r w:rsidR="00C672AD">
        <w:t xml:space="preserve">amended the </w:t>
      </w:r>
      <w:r w:rsidR="00BD0F5E">
        <w:t xml:space="preserve">Administrative </w:t>
      </w:r>
      <w:r w:rsidR="00C672AD">
        <w:t xml:space="preserve">Code to require that </w:t>
      </w:r>
      <w:r w:rsidR="00BD0F5E">
        <w:t xml:space="preserve">horse </w:t>
      </w:r>
      <w:r w:rsidR="00C672AD">
        <w:t xml:space="preserve">stalls be at least 64 square feet; </w:t>
      </w:r>
      <w:r w:rsidR="00BD0F5E">
        <w:t>to</w:t>
      </w:r>
      <w:r w:rsidR="00C672AD">
        <w:t xml:space="preserve"> provide horses with a furlough at least five non-consecutive weeks per year; </w:t>
      </w:r>
      <w:r w:rsidR="00BD0F5E">
        <w:t>to</w:t>
      </w:r>
      <w:r w:rsidR="00C672AD">
        <w:t xml:space="preserve"> increase the minimum number of required veterinary examinations; </w:t>
      </w:r>
      <w:r w:rsidR="00BD0F5E">
        <w:t>to</w:t>
      </w:r>
      <w:r w:rsidR="00C672AD">
        <w:t xml:space="preserve"> require that horses be between five and </w:t>
      </w:r>
      <w:r w:rsidR="00BD0F5E">
        <w:t>26</w:t>
      </w:r>
      <w:r w:rsidR="00C672AD">
        <w:t xml:space="preserve"> years of age; </w:t>
      </w:r>
      <w:r w:rsidR="00BD0F5E">
        <w:t>to</w:t>
      </w:r>
      <w:r w:rsidR="00C672AD">
        <w:t xml:space="preserve"> increase the fee the industry may charge customers; </w:t>
      </w:r>
      <w:r w:rsidR="00BD0F5E">
        <w:t>to</w:t>
      </w:r>
      <w:r w:rsidR="00C672AD">
        <w:t xml:space="preserve"> provide for a probationary horse-drawn carriage driver license; and </w:t>
      </w:r>
      <w:r w:rsidR="00BD0F5E">
        <w:t>to</w:t>
      </w:r>
      <w:r w:rsidR="00C672AD">
        <w:t xml:space="preserve"> require</w:t>
      </w:r>
      <w:r w:rsidR="008B0A7F">
        <w:t xml:space="preserve"> </w:t>
      </w:r>
      <w:r w:rsidR="00C672AD">
        <w:t>additional carriage equipment.</w:t>
      </w:r>
      <w:r w:rsidR="00BD0F5E">
        <w:rPr>
          <w:rStyle w:val="FootnoteReference"/>
        </w:rPr>
        <w:footnoteReference w:id="113"/>
      </w:r>
      <w:r w:rsidR="009A4F56">
        <w:t xml:space="preserve"> </w:t>
      </w:r>
      <w:r w:rsidR="004D3C9A">
        <w:t>Except for the stall size requirement, the bill went into immediate effect.</w:t>
      </w:r>
      <w:r w:rsidR="004D3C9A">
        <w:rPr>
          <w:rStyle w:val="FootnoteReference"/>
        </w:rPr>
        <w:footnoteReference w:id="114"/>
      </w:r>
      <w:r w:rsidR="00204307">
        <w:t xml:space="preserve"> </w:t>
      </w:r>
      <w:r w:rsidR="009A4F56">
        <w:t xml:space="preserve">Within one month of </w:t>
      </w:r>
      <w:r w:rsidR="004150B6">
        <w:t>enactment</w:t>
      </w:r>
      <w:r w:rsidR="009A4F56">
        <w:t>, two accidents involving carriage horses occurred in Manhattan</w:t>
      </w:r>
      <w:r w:rsidR="004150B6">
        <w:t>.</w:t>
      </w:r>
      <w:r w:rsidR="004150B6">
        <w:rPr>
          <w:rStyle w:val="FootnoteReference"/>
        </w:rPr>
        <w:footnoteReference w:id="115"/>
      </w:r>
    </w:p>
    <w:p w14:paraId="0570F072" w14:textId="1F3934E2" w:rsidR="00CC7C68" w:rsidRDefault="00CC7C68" w:rsidP="009A4F56">
      <w:pPr>
        <w:spacing w:after="0" w:line="480" w:lineRule="auto"/>
      </w:pPr>
      <w:r>
        <w:tab/>
      </w:r>
      <w:r w:rsidR="0056429C">
        <w:t xml:space="preserve">Mayor Bill de Blasio </w:t>
      </w:r>
      <w:r w:rsidR="00D06543">
        <w:t xml:space="preserve">supported a prohibition of the horse carriage industry as Mayor, </w:t>
      </w:r>
      <w:r w:rsidR="00215F17">
        <w:t xml:space="preserve">but </w:t>
      </w:r>
      <w:r w:rsidR="00AC65D2">
        <w:t>did not succeed in doing so</w:t>
      </w:r>
      <w:r w:rsidR="00215F17">
        <w:t>.</w:t>
      </w:r>
      <w:r w:rsidR="00215F17">
        <w:rPr>
          <w:rStyle w:val="FootnoteReference"/>
        </w:rPr>
        <w:footnoteReference w:id="116"/>
      </w:r>
      <w:r w:rsidR="00D06543">
        <w:t xml:space="preserve"> </w:t>
      </w:r>
      <w:r w:rsidR="00D4495B">
        <w:t xml:space="preserve">In </w:t>
      </w:r>
      <w:r w:rsidR="00AC65D2">
        <w:t>2018,</w:t>
      </w:r>
      <w:r w:rsidR="00D4495B">
        <w:t xml:space="preserve"> Mayor de Blasio issued a rule </w:t>
      </w:r>
      <w:r w:rsidR="00252F7E">
        <w:t xml:space="preserve">requiring that </w:t>
      </w:r>
      <w:r w:rsidR="009860CB">
        <w:t>horse-drawn carriages may only pick up passengers at designated areas in Central Park</w:t>
      </w:r>
      <w:r w:rsidR="000E7D18">
        <w:t xml:space="preserve">, with the goal of </w:t>
      </w:r>
      <w:r w:rsidR="000E7D18">
        <w:lastRenderedPageBreak/>
        <w:t xml:space="preserve">reducing congestion on Central Park South </w:t>
      </w:r>
      <w:r w:rsidR="00D44659">
        <w:t xml:space="preserve">and </w:t>
      </w:r>
      <w:r w:rsidR="001B6B73">
        <w:t>further separating the horses from car and bus traffic</w:t>
      </w:r>
      <w:r w:rsidR="00981BFC">
        <w:t>.</w:t>
      </w:r>
      <w:r w:rsidR="0004711F">
        <w:rPr>
          <w:rStyle w:val="FootnoteReference"/>
        </w:rPr>
        <w:footnoteReference w:id="117"/>
      </w:r>
    </w:p>
    <w:p w14:paraId="089CD631" w14:textId="34AB24A7" w:rsidR="00C579CD" w:rsidRPr="00FB2E5A" w:rsidRDefault="00C678F2" w:rsidP="00933352">
      <w:pPr>
        <w:spacing w:after="0" w:line="480" w:lineRule="auto"/>
      </w:pPr>
      <w:r>
        <w:tab/>
      </w:r>
      <w:r w:rsidR="00174F46">
        <w:t>I</w:t>
      </w:r>
      <w:r w:rsidR="00384C3D">
        <w:t>n 2019,</w:t>
      </w:r>
      <w:r w:rsidR="00310EF5">
        <w:t xml:space="preserve"> in response to advocacy around </w:t>
      </w:r>
      <w:r w:rsidR="00EE353A">
        <w:t>reducing carriage horse exposure to extreme heat,</w:t>
      </w:r>
      <w:r w:rsidR="00384C3D">
        <w:t xml:space="preserve"> the Council enacted a law prohibiting horses from working as carriage horses when the air temperature is 90 degrees Fahrenheit or above, or when the air temperature is 80 degrees Fahrenheit or above and the equine heat index is 150 or above.</w:t>
      </w:r>
      <w:r w:rsidR="00384C3D">
        <w:rPr>
          <w:rStyle w:val="FootnoteReference"/>
        </w:rPr>
        <w:footnoteReference w:id="118"/>
      </w:r>
      <w:r w:rsidR="006656DB">
        <w:t xml:space="preserve"> This law requires that if heat thresholds are exceeded during a carriage ride, the carriage operator must cease work within 30 minutes of the violation threshold being reached, the horse must be returned directly to its stable, and the horse must be unharnessed</w:t>
      </w:r>
      <w:r w:rsidR="001D253A">
        <w:t xml:space="preserve"> in the stable</w:t>
      </w:r>
      <w:r w:rsidR="006656DB">
        <w:t xml:space="preserve"> and allowed to rest for at least one hour</w:t>
      </w:r>
      <w:r w:rsidR="001D253A">
        <w:t xml:space="preserve">, </w:t>
      </w:r>
      <w:r w:rsidR="006656DB">
        <w:t>or as long as outdoor conditions are unsafe.</w:t>
      </w:r>
      <w:r w:rsidR="001D253A">
        <w:rPr>
          <w:rStyle w:val="FootnoteReference"/>
        </w:rPr>
        <w:footnoteReference w:id="119"/>
      </w:r>
    </w:p>
    <w:p w14:paraId="5000F478" w14:textId="7ACB3BBF" w:rsidR="00790B48" w:rsidRPr="00FB2E5A" w:rsidRDefault="00790B48" w:rsidP="00933352">
      <w:pPr>
        <w:spacing w:after="0" w:line="480" w:lineRule="auto"/>
      </w:pPr>
      <w:r>
        <w:tab/>
      </w:r>
      <w:r w:rsidR="00A2176C">
        <w:t xml:space="preserve">In September 2025, </w:t>
      </w:r>
      <w:r w:rsidR="00C40C02">
        <w:t xml:space="preserve">then-Mayor Eric Adams </w:t>
      </w:r>
      <w:r w:rsidR="00894E71">
        <w:t>announced support to end the use of horse-drawn carriages in Central Park</w:t>
      </w:r>
      <w:r w:rsidR="00B72F6E">
        <w:t xml:space="preserve">, issued Executive Order (“EO”) 56 </w:t>
      </w:r>
      <w:r w:rsidR="00485F20">
        <w:t>to prepare the City for the end</w:t>
      </w:r>
      <w:r w:rsidR="00B72F6E">
        <w:t xml:space="preserve"> of </w:t>
      </w:r>
      <w:r w:rsidR="00485F20">
        <w:t xml:space="preserve">the industry, </w:t>
      </w:r>
      <w:r w:rsidR="00B72F6E">
        <w:t xml:space="preserve">and </w:t>
      </w:r>
      <w:r w:rsidR="00485F20">
        <w:t xml:space="preserve">sent </w:t>
      </w:r>
      <w:r w:rsidR="00B72F6E">
        <w:t xml:space="preserve">a </w:t>
      </w:r>
      <w:r w:rsidR="00485F20">
        <w:t>L</w:t>
      </w:r>
      <w:r w:rsidR="00B72F6E">
        <w:t xml:space="preserve">etter of </w:t>
      </w:r>
      <w:r w:rsidR="00485F20">
        <w:t>N</w:t>
      </w:r>
      <w:r w:rsidR="00B72F6E">
        <w:t xml:space="preserve">ecessity to the Council </w:t>
      </w:r>
      <w:r w:rsidR="007471B3">
        <w:t xml:space="preserve">urging passage of </w:t>
      </w:r>
      <w:r w:rsidR="00485F20">
        <w:t>legislation to wind down the horse carriage industry</w:t>
      </w:r>
      <w:r w:rsidR="00894E71">
        <w:t>.</w:t>
      </w:r>
      <w:r w:rsidR="00894E71">
        <w:rPr>
          <w:rStyle w:val="FootnoteReference"/>
        </w:rPr>
        <w:footnoteReference w:id="120"/>
      </w:r>
      <w:r w:rsidR="009917A7">
        <w:t xml:space="preserve"> The EO directed </w:t>
      </w:r>
      <w:r w:rsidR="000D3EAD">
        <w:t xml:space="preserve">all City agencies to </w:t>
      </w:r>
      <w:r w:rsidR="00351DCA">
        <w:t xml:space="preserve">take steps to </w:t>
      </w:r>
      <w:r w:rsidR="00351DCA">
        <w:lastRenderedPageBreak/>
        <w:t xml:space="preserve">prepare for implementation of </w:t>
      </w:r>
      <w:r w:rsidR="0019087D">
        <w:t>a ban on horse carriages</w:t>
      </w:r>
      <w:r w:rsidR="00F35BE3">
        <w:t xml:space="preserve">, while the Letter of Necessity urged the Council to take legislative action “in light of recent incidents involving horse-drawn carriages in New York City,” including </w:t>
      </w:r>
      <w:r w:rsidR="00624C34">
        <w:t xml:space="preserve">instances in 2025 where “a </w:t>
      </w:r>
      <w:r w:rsidR="00155039">
        <w:t xml:space="preserve">carriage </w:t>
      </w:r>
      <w:r w:rsidR="00624C34">
        <w:t>horse bolted</w:t>
      </w:r>
      <w:r w:rsidR="002512E9">
        <w:t>…with passengers in the carriage, knocking down a road sign and running through a group of persons using the park for recreational purposes</w:t>
      </w:r>
      <w:r w:rsidR="00827A8F">
        <w:t>” and other instances where carriage horses collapsed or were involved in automobile collisions.</w:t>
      </w:r>
      <w:r w:rsidR="00827A8F">
        <w:rPr>
          <w:rStyle w:val="FootnoteReference"/>
        </w:rPr>
        <w:footnoteReference w:id="121"/>
      </w:r>
      <w:r w:rsidR="00623872">
        <w:t xml:space="preserve"> The Council considered </w:t>
      </w:r>
      <w:r w:rsidR="00355FBC">
        <w:t>legislation</w:t>
      </w:r>
      <w:r w:rsidR="000C267A">
        <w:t>, Int. No. 967</w:t>
      </w:r>
      <w:r w:rsidR="00B4474A">
        <w:t>,</w:t>
      </w:r>
      <w:r w:rsidR="00355FBC">
        <w:t xml:space="preserve"> to wind down the horse carriage industry </w:t>
      </w:r>
      <w:r w:rsidR="00D66CD2">
        <w:t>at a meeting of the Committee on Health in November 2025.</w:t>
      </w:r>
      <w:r w:rsidR="00D66CD2">
        <w:rPr>
          <w:rStyle w:val="FootnoteReference"/>
        </w:rPr>
        <w:footnoteReference w:id="122"/>
      </w:r>
      <w:r w:rsidR="00EC5D33">
        <w:t xml:space="preserve"> The Committee </w:t>
      </w:r>
      <w:r w:rsidR="000C267A">
        <w:t xml:space="preserve">voted </w:t>
      </w:r>
      <w:r w:rsidR="000A4891">
        <w:t>to table the legislation.</w:t>
      </w:r>
      <w:r w:rsidR="000A4891">
        <w:rPr>
          <w:rStyle w:val="FootnoteReference"/>
        </w:rPr>
        <w:footnoteReference w:id="123"/>
      </w:r>
      <w:r w:rsidR="000A4891">
        <w:t xml:space="preserve"> </w:t>
      </w:r>
      <w:r w:rsidR="00AC65D2">
        <w:t>Council Member Marte</w:t>
      </w:r>
      <w:r w:rsidR="000A4891">
        <w:t xml:space="preserve"> reintroduced </w:t>
      </w:r>
      <w:r w:rsidR="00AC65D2">
        <w:t xml:space="preserve">the legislation </w:t>
      </w:r>
      <w:r w:rsidR="000A4891">
        <w:t>in the current Council session as Int. No. 943.</w:t>
      </w:r>
      <w:r w:rsidR="000A4891">
        <w:rPr>
          <w:rStyle w:val="FootnoteReference"/>
        </w:rPr>
        <w:footnoteReference w:id="124"/>
      </w:r>
    </w:p>
    <w:p w14:paraId="31E314C9" w14:textId="097314A5" w:rsidR="0041058B" w:rsidRPr="0041058B" w:rsidRDefault="00544DCF" w:rsidP="0041058B">
      <w:pPr>
        <w:pStyle w:val="ListParagraph"/>
        <w:numPr>
          <w:ilvl w:val="0"/>
          <w:numId w:val="3"/>
        </w:numPr>
        <w:spacing w:after="0" w:line="480" w:lineRule="auto"/>
        <w:jc w:val="both"/>
        <w:rPr>
          <w:rFonts w:cs="Times New Roman"/>
          <w:b/>
          <w:szCs w:val="24"/>
        </w:rPr>
      </w:pPr>
      <w:r w:rsidRPr="00F46BCF">
        <w:rPr>
          <w:rFonts w:cs="Times New Roman"/>
          <w:b/>
          <w:bCs/>
          <w:szCs w:val="24"/>
        </w:rPr>
        <w:t>LEGISLAT</w:t>
      </w:r>
      <w:r w:rsidR="00AA2E66">
        <w:rPr>
          <w:rFonts w:cs="Times New Roman"/>
          <w:b/>
          <w:bCs/>
          <w:szCs w:val="24"/>
        </w:rPr>
        <w:t>IVE ANALYSIS</w:t>
      </w:r>
    </w:p>
    <w:p w14:paraId="339A57AE" w14:textId="0A69DDF7" w:rsidR="00B67E73" w:rsidRPr="00E95B0C" w:rsidRDefault="0041058B" w:rsidP="00B67E73">
      <w:pPr>
        <w:pStyle w:val="ListParagraph"/>
        <w:numPr>
          <w:ilvl w:val="0"/>
          <w:numId w:val="11"/>
        </w:numPr>
        <w:spacing w:after="0" w:line="480" w:lineRule="auto"/>
        <w:jc w:val="both"/>
        <w:rPr>
          <w:rFonts w:cs="Times New Roman"/>
          <w:b/>
          <w:szCs w:val="24"/>
        </w:rPr>
      </w:pPr>
      <w:r w:rsidRPr="00DE7718">
        <w:rPr>
          <w:rFonts w:cs="Times New Roman"/>
          <w:b/>
          <w:szCs w:val="24"/>
        </w:rPr>
        <w:t>Int. No</w:t>
      </w:r>
      <w:r w:rsidR="00E95B0C">
        <w:rPr>
          <w:rFonts w:cs="Times New Roman"/>
          <w:b/>
          <w:szCs w:val="24"/>
        </w:rPr>
        <w:t xml:space="preserve">. </w:t>
      </w:r>
      <w:r w:rsidR="005A0BF6">
        <w:rPr>
          <w:rFonts w:cs="Times New Roman"/>
          <w:b/>
          <w:szCs w:val="24"/>
        </w:rPr>
        <w:t>943</w:t>
      </w:r>
      <w:r w:rsidR="00357C21" w:rsidRPr="00E95B0C">
        <w:rPr>
          <w:rFonts w:cs="Times New Roman"/>
          <w:bCs/>
          <w:szCs w:val="24"/>
        </w:rPr>
        <w:tab/>
      </w:r>
    </w:p>
    <w:p w14:paraId="5E6F827C" w14:textId="45638DDB" w:rsidR="00D217FF" w:rsidRDefault="004B6A49" w:rsidP="00E03E83">
      <w:pPr>
        <w:spacing w:after="0" w:line="480" w:lineRule="auto"/>
        <w:contextualSpacing/>
        <w:rPr>
          <w:rFonts w:cs="Times New Roman"/>
          <w:bCs/>
          <w:szCs w:val="24"/>
        </w:rPr>
      </w:pPr>
      <w:r>
        <w:rPr>
          <w:rFonts w:cs="Times New Roman"/>
          <w:bCs/>
          <w:szCs w:val="24"/>
        </w:rPr>
        <w:tab/>
        <w:t xml:space="preserve">This bill </w:t>
      </w:r>
      <w:r w:rsidR="00E03E83" w:rsidRPr="00E03E83">
        <w:rPr>
          <w:rFonts w:cs="Times New Roman"/>
          <w:bCs/>
          <w:szCs w:val="24"/>
        </w:rPr>
        <w:t xml:space="preserve">would phase out the operation of </w:t>
      </w:r>
      <w:r w:rsidR="00D217FF">
        <w:rPr>
          <w:rFonts w:cs="Times New Roman"/>
          <w:bCs/>
          <w:szCs w:val="24"/>
        </w:rPr>
        <w:t xml:space="preserve">the </w:t>
      </w:r>
      <w:r w:rsidR="00E03E83" w:rsidRPr="00E03E83">
        <w:rPr>
          <w:rFonts w:cs="Times New Roman"/>
          <w:bCs/>
          <w:szCs w:val="24"/>
        </w:rPr>
        <w:t xml:space="preserve">horse-drawn </w:t>
      </w:r>
      <w:r w:rsidR="00D217FF">
        <w:rPr>
          <w:rFonts w:cs="Times New Roman"/>
          <w:bCs/>
          <w:szCs w:val="24"/>
        </w:rPr>
        <w:t>carriage industry</w:t>
      </w:r>
      <w:r w:rsidR="00E03E83" w:rsidRPr="00E03E83">
        <w:rPr>
          <w:rFonts w:cs="Times New Roman"/>
          <w:bCs/>
          <w:szCs w:val="24"/>
        </w:rPr>
        <w:t xml:space="preserve"> in </w:t>
      </w:r>
      <w:r w:rsidR="00D217FF">
        <w:rPr>
          <w:rFonts w:cs="Times New Roman"/>
          <w:bCs/>
          <w:szCs w:val="24"/>
        </w:rPr>
        <w:t>NYC</w:t>
      </w:r>
      <w:r w:rsidR="00E03E83" w:rsidRPr="00E03E83">
        <w:rPr>
          <w:rFonts w:cs="Times New Roman"/>
          <w:bCs/>
          <w:szCs w:val="24"/>
        </w:rPr>
        <w:t xml:space="preserve"> by prohibiting the issuance of new horse-drawn ca</w:t>
      </w:r>
      <w:r w:rsidR="00D217FF">
        <w:rPr>
          <w:rFonts w:cs="Times New Roman"/>
          <w:bCs/>
          <w:szCs w:val="24"/>
        </w:rPr>
        <w:t>rriage</w:t>
      </w:r>
      <w:r w:rsidR="00E03E83" w:rsidRPr="00E03E83">
        <w:rPr>
          <w:rFonts w:cs="Times New Roman"/>
          <w:bCs/>
          <w:szCs w:val="24"/>
        </w:rPr>
        <w:t xml:space="preserve"> licenses, establishing a transition period through June 1, 2028, requiring the humane disposition of carriage horses, repealing provisions </w:t>
      </w:r>
      <w:r w:rsidR="00D217FF">
        <w:rPr>
          <w:rFonts w:cs="Times New Roman"/>
          <w:bCs/>
          <w:szCs w:val="24"/>
        </w:rPr>
        <w:t xml:space="preserve">in Titles 17 and 20 </w:t>
      </w:r>
      <w:r w:rsidR="00E03E83" w:rsidRPr="00E03E83">
        <w:rPr>
          <w:rFonts w:cs="Times New Roman"/>
          <w:bCs/>
          <w:szCs w:val="24"/>
        </w:rPr>
        <w:t>of the Administrative Code governing the operation of horse-drawn ca</w:t>
      </w:r>
      <w:r w:rsidR="00D217FF">
        <w:rPr>
          <w:rFonts w:cs="Times New Roman"/>
          <w:bCs/>
          <w:szCs w:val="24"/>
        </w:rPr>
        <w:t>rriage</w:t>
      </w:r>
      <w:r w:rsidR="00E03E83" w:rsidRPr="00E03E83">
        <w:rPr>
          <w:rFonts w:cs="Times New Roman"/>
          <w:bCs/>
          <w:szCs w:val="24"/>
        </w:rPr>
        <w:t>s, and creating a workforce development program</w:t>
      </w:r>
      <w:r w:rsidR="00D217FF">
        <w:rPr>
          <w:rFonts w:cs="Times New Roman"/>
          <w:bCs/>
          <w:szCs w:val="24"/>
        </w:rPr>
        <w:t xml:space="preserve"> for</w:t>
      </w:r>
      <w:r w:rsidR="00E03E83" w:rsidRPr="00E03E83">
        <w:rPr>
          <w:rFonts w:cs="Times New Roman"/>
          <w:bCs/>
          <w:szCs w:val="24"/>
        </w:rPr>
        <w:t xml:space="preserve"> </w:t>
      </w:r>
      <w:r w:rsidR="00D217FF">
        <w:rPr>
          <w:rFonts w:cs="Times New Roman"/>
          <w:bCs/>
          <w:szCs w:val="24"/>
        </w:rPr>
        <w:t>impacted</w:t>
      </w:r>
      <w:r w:rsidR="00E03E83" w:rsidRPr="00E03E83">
        <w:rPr>
          <w:rFonts w:cs="Times New Roman"/>
          <w:bCs/>
          <w:szCs w:val="24"/>
        </w:rPr>
        <w:t xml:space="preserve"> workers.</w:t>
      </w:r>
      <w:r w:rsidR="00D217FF">
        <w:rPr>
          <w:rFonts w:cs="Times New Roman"/>
          <w:bCs/>
          <w:szCs w:val="24"/>
        </w:rPr>
        <w:t xml:space="preserve"> </w:t>
      </w:r>
    </w:p>
    <w:p w14:paraId="58781BBC" w14:textId="2EA5F8F2" w:rsidR="00FB4881" w:rsidRDefault="00D217FF" w:rsidP="00E03E83">
      <w:pPr>
        <w:spacing w:after="0" w:line="480" w:lineRule="auto"/>
        <w:contextualSpacing/>
        <w:rPr>
          <w:rFonts w:cs="Times New Roman"/>
          <w:bCs/>
          <w:szCs w:val="24"/>
        </w:rPr>
      </w:pPr>
      <w:r>
        <w:rPr>
          <w:rFonts w:cs="Times New Roman"/>
          <w:bCs/>
          <w:szCs w:val="24"/>
        </w:rPr>
        <w:tab/>
      </w:r>
      <w:r w:rsidRPr="00D217FF">
        <w:rPr>
          <w:rFonts w:cs="Times New Roman"/>
          <w:bCs/>
          <w:szCs w:val="24"/>
        </w:rPr>
        <w:t xml:space="preserve">Beginning June 1, 2028, </w:t>
      </w:r>
      <w:r w:rsidR="007E5F15">
        <w:rPr>
          <w:rFonts w:cs="Times New Roman"/>
          <w:bCs/>
          <w:szCs w:val="24"/>
        </w:rPr>
        <w:t>DCWP</w:t>
      </w:r>
      <w:r w:rsidRPr="00D217FF">
        <w:rPr>
          <w:rFonts w:cs="Times New Roman"/>
          <w:bCs/>
          <w:szCs w:val="24"/>
        </w:rPr>
        <w:t xml:space="preserve"> would be prohibited from accepting applications for new carriage horse licenses</w:t>
      </w:r>
      <w:r>
        <w:rPr>
          <w:rFonts w:cs="Times New Roman"/>
          <w:bCs/>
          <w:szCs w:val="24"/>
        </w:rPr>
        <w:t xml:space="preserve"> under the proposed local law</w:t>
      </w:r>
      <w:r w:rsidRPr="00D217FF">
        <w:rPr>
          <w:rFonts w:cs="Times New Roman"/>
          <w:bCs/>
          <w:szCs w:val="24"/>
        </w:rPr>
        <w:t xml:space="preserve">. Existing licenses could continue to be renewed only </w:t>
      </w:r>
      <w:r>
        <w:rPr>
          <w:rFonts w:cs="Times New Roman"/>
          <w:bCs/>
          <w:szCs w:val="24"/>
        </w:rPr>
        <w:t xml:space="preserve">up to that date, </w:t>
      </w:r>
      <w:r w:rsidRPr="00D217FF">
        <w:rPr>
          <w:rFonts w:cs="Times New Roman"/>
          <w:bCs/>
          <w:szCs w:val="24"/>
        </w:rPr>
        <w:t>after which all such licenses would expire</w:t>
      </w:r>
      <w:r w:rsidR="007E5F15">
        <w:rPr>
          <w:rFonts w:cs="Times New Roman"/>
          <w:bCs/>
          <w:szCs w:val="24"/>
        </w:rPr>
        <w:t xml:space="preserve"> and no new licenses </w:t>
      </w:r>
      <w:r w:rsidR="007E5F15">
        <w:rPr>
          <w:rFonts w:cs="Times New Roman"/>
          <w:bCs/>
          <w:szCs w:val="24"/>
        </w:rPr>
        <w:lastRenderedPageBreak/>
        <w:t>would be issued</w:t>
      </w:r>
      <w:r w:rsidRPr="00D217FF">
        <w:rPr>
          <w:rFonts w:cs="Times New Roman"/>
          <w:bCs/>
          <w:szCs w:val="24"/>
        </w:rPr>
        <w:t>. During the transition period, existing licensees would retain the ability to replace licensed horses that retire or become medically unfit for work, provided the total number of licensed carriage horses</w:t>
      </w:r>
      <w:r>
        <w:rPr>
          <w:rFonts w:cs="Times New Roman"/>
          <w:bCs/>
          <w:szCs w:val="24"/>
        </w:rPr>
        <w:t xml:space="preserve"> operating in the City</w:t>
      </w:r>
      <w:r w:rsidRPr="00D217FF">
        <w:rPr>
          <w:rFonts w:cs="Times New Roman"/>
          <w:bCs/>
          <w:szCs w:val="24"/>
        </w:rPr>
        <w:t xml:space="preserve"> does not increase.</w:t>
      </w:r>
    </w:p>
    <w:p w14:paraId="09091CF7" w14:textId="0F54FB8B" w:rsidR="00D217FF" w:rsidRDefault="00D217FF" w:rsidP="00E03E83">
      <w:pPr>
        <w:spacing w:after="0" w:line="480" w:lineRule="auto"/>
        <w:contextualSpacing/>
        <w:rPr>
          <w:rFonts w:cs="Times New Roman"/>
          <w:bCs/>
          <w:szCs w:val="24"/>
        </w:rPr>
      </w:pPr>
      <w:r>
        <w:rPr>
          <w:rFonts w:cs="Times New Roman"/>
          <w:bCs/>
          <w:szCs w:val="24"/>
        </w:rPr>
        <w:tab/>
      </w:r>
      <w:r w:rsidR="007E5F15">
        <w:rPr>
          <w:rFonts w:cs="Times New Roman"/>
          <w:bCs/>
          <w:szCs w:val="24"/>
        </w:rPr>
        <w:t>Following the winding down of the industry, t</w:t>
      </w:r>
      <w:r>
        <w:rPr>
          <w:rFonts w:cs="Times New Roman"/>
          <w:bCs/>
          <w:szCs w:val="24"/>
        </w:rPr>
        <w:t>he bill would also</w:t>
      </w:r>
      <w:r w:rsidRPr="00D217FF">
        <w:rPr>
          <w:rFonts w:cs="Times New Roman"/>
          <w:bCs/>
          <w:szCs w:val="24"/>
        </w:rPr>
        <w:t xml:space="preserve"> </w:t>
      </w:r>
      <w:r>
        <w:rPr>
          <w:rFonts w:cs="Times New Roman"/>
          <w:bCs/>
          <w:szCs w:val="24"/>
        </w:rPr>
        <w:t>require carriage horse</w:t>
      </w:r>
      <w:r w:rsidRPr="00D217FF">
        <w:rPr>
          <w:rFonts w:cs="Times New Roman"/>
          <w:bCs/>
          <w:szCs w:val="24"/>
        </w:rPr>
        <w:t xml:space="preserve"> owners to notify </w:t>
      </w:r>
      <w:r>
        <w:rPr>
          <w:rFonts w:cs="Times New Roman"/>
          <w:bCs/>
          <w:szCs w:val="24"/>
        </w:rPr>
        <w:t>DOHMH</w:t>
      </w:r>
      <w:r w:rsidRPr="00D217FF">
        <w:rPr>
          <w:rFonts w:cs="Times New Roman"/>
          <w:bCs/>
          <w:szCs w:val="24"/>
        </w:rPr>
        <w:t xml:space="preserve"> of any proposed transfer</w:t>
      </w:r>
      <w:r>
        <w:rPr>
          <w:rFonts w:cs="Times New Roman"/>
          <w:bCs/>
          <w:szCs w:val="24"/>
        </w:rPr>
        <w:t xml:space="preserve"> of a horse</w:t>
      </w:r>
      <w:r w:rsidRPr="00D217FF">
        <w:rPr>
          <w:rFonts w:cs="Times New Roman"/>
          <w:bCs/>
          <w:szCs w:val="24"/>
        </w:rPr>
        <w:t xml:space="preserve"> before</w:t>
      </w:r>
      <w:r>
        <w:rPr>
          <w:rFonts w:cs="Times New Roman"/>
          <w:bCs/>
          <w:szCs w:val="24"/>
        </w:rPr>
        <w:t xml:space="preserve"> the</w:t>
      </w:r>
      <w:r w:rsidRPr="00D217FF">
        <w:rPr>
          <w:rFonts w:cs="Times New Roman"/>
          <w:bCs/>
          <w:szCs w:val="24"/>
        </w:rPr>
        <w:t xml:space="preserve"> disposition</w:t>
      </w:r>
      <w:r>
        <w:rPr>
          <w:rFonts w:cs="Times New Roman"/>
          <w:bCs/>
          <w:szCs w:val="24"/>
        </w:rPr>
        <w:t xml:space="preserve"> of such horse,</w:t>
      </w:r>
      <w:r w:rsidRPr="00D217FF">
        <w:rPr>
          <w:rFonts w:cs="Times New Roman"/>
          <w:bCs/>
          <w:szCs w:val="24"/>
        </w:rPr>
        <w:t xml:space="preserve"> and </w:t>
      </w:r>
      <w:r>
        <w:rPr>
          <w:rFonts w:cs="Times New Roman"/>
          <w:bCs/>
          <w:szCs w:val="24"/>
        </w:rPr>
        <w:t>would</w:t>
      </w:r>
      <w:r w:rsidRPr="00D217FF">
        <w:rPr>
          <w:rFonts w:cs="Times New Roman"/>
          <w:bCs/>
          <w:szCs w:val="24"/>
        </w:rPr>
        <w:t xml:space="preserve"> prohibit the sale or transfer of licensed carriage horses for slaughter, resale for slaughter, transport for slaughter, or use in another horse-drawn carriage business. </w:t>
      </w:r>
      <w:r>
        <w:rPr>
          <w:rFonts w:cs="Times New Roman"/>
          <w:bCs/>
          <w:szCs w:val="24"/>
        </w:rPr>
        <w:t>Carriage horse o</w:t>
      </w:r>
      <w:r w:rsidRPr="00D217FF">
        <w:rPr>
          <w:rFonts w:cs="Times New Roman"/>
          <w:bCs/>
          <w:szCs w:val="24"/>
        </w:rPr>
        <w:t xml:space="preserve">wners would be required to certify </w:t>
      </w:r>
      <w:r>
        <w:rPr>
          <w:rFonts w:cs="Times New Roman"/>
          <w:bCs/>
          <w:szCs w:val="24"/>
        </w:rPr>
        <w:t xml:space="preserve">to DOHMH </w:t>
      </w:r>
      <w:r w:rsidRPr="00D217FF">
        <w:rPr>
          <w:rFonts w:cs="Times New Roman"/>
          <w:bCs/>
          <w:szCs w:val="24"/>
        </w:rPr>
        <w:t xml:space="preserve">that </w:t>
      </w:r>
      <w:r>
        <w:rPr>
          <w:rFonts w:cs="Times New Roman"/>
          <w:bCs/>
          <w:szCs w:val="24"/>
        </w:rPr>
        <w:t xml:space="preserve">such </w:t>
      </w:r>
      <w:r w:rsidRPr="00D217FF">
        <w:rPr>
          <w:rFonts w:cs="Times New Roman"/>
          <w:bCs/>
          <w:szCs w:val="24"/>
        </w:rPr>
        <w:t>horses are being transferred for humane purposes.</w:t>
      </w:r>
    </w:p>
    <w:p w14:paraId="20403EE5" w14:textId="299EC3F1" w:rsidR="00C579CD" w:rsidRPr="003835EB" w:rsidRDefault="00D217FF" w:rsidP="00933352">
      <w:pPr>
        <w:spacing w:after="0" w:line="480" w:lineRule="auto"/>
        <w:contextualSpacing/>
        <w:rPr>
          <w:rFonts w:cs="Times New Roman"/>
          <w:bCs/>
          <w:szCs w:val="24"/>
        </w:rPr>
      </w:pPr>
      <w:r>
        <w:rPr>
          <w:rFonts w:cs="Times New Roman"/>
          <w:bCs/>
          <w:szCs w:val="24"/>
        </w:rPr>
        <w:tab/>
      </w:r>
      <w:r w:rsidR="007E5F15">
        <w:rPr>
          <w:rFonts w:cs="Times New Roman"/>
          <w:bCs/>
          <w:szCs w:val="24"/>
        </w:rPr>
        <w:t>Finally, u</w:t>
      </w:r>
      <w:r>
        <w:rPr>
          <w:rFonts w:cs="Times New Roman"/>
          <w:bCs/>
          <w:szCs w:val="24"/>
        </w:rPr>
        <w:t xml:space="preserve">nder the bill, </w:t>
      </w:r>
      <w:r w:rsidRPr="00D217FF">
        <w:rPr>
          <w:rFonts w:cs="Times New Roman"/>
          <w:bCs/>
          <w:szCs w:val="24"/>
        </w:rPr>
        <w:t xml:space="preserve">DCWP, in collaboration with the Mayor's Office of Talent and Workforce Development, </w:t>
      </w:r>
      <w:r>
        <w:rPr>
          <w:rFonts w:cs="Times New Roman"/>
          <w:bCs/>
          <w:szCs w:val="24"/>
        </w:rPr>
        <w:t xml:space="preserve">would be required to </w:t>
      </w:r>
      <w:r w:rsidRPr="00D217FF">
        <w:rPr>
          <w:rFonts w:cs="Times New Roman"/>
          <w:bCs/>
          <w:szCs w:val="24"/>
        </w:rPr>
        <w:t xml:space="preserve">establish a workforce development program for horse-drawn cab drivers and other workers employed in the horse-drawn carriage industry. The program is intended to facilitate the transition of </w:t>
      </w:r>
      <w:r w:rsidR="007E5F15">
        <w:rPr>
          <w:rFonts w:cs="Times New Roman"/>
          <w:bCs/>
          <w:szCs w:val="24"/>
        </w:rPr>
        <w:t xml:space="preserve">impacted carriage horse </w:t>
      </w:r>
      <w:r w:rsidRPr="00D217FF">
        <w:rPr>
          <w:rFonts w:cs="Times New Roman"/>
          <w:bCs/>
          <w:szCs w:val="24"/>
        </w:rPr>
        <w:t>workers to alternative employment through workforce development services and related assistance.</w:t>
      </w:r>
    </w:p>
    <w:p w14:paraId="69EE3D4B" w14:textId="05FC2871" w:rsidR="0088052B" w:rsidRDefault="0088052B" w:rsidP="002E5340">
      <w:pPr>
        <w:pStyle w:val="ListParagraph"/>
        <w:numPr>
          <w:ilvl w:val="0"/>
          <w:numId w:val="3"/>
        </w:numPr>
        <w:spacing w:after="0" w:line="480" w:lineRule="auto"/>
        <w:jc w:val="both"/>
        <w:rPr>
          <w:rFonts w:cs="Times New Roman"/>
          <w:b/>
        </w:rPr>
      </w:pPr>
      <w:r w:rsidRPr="004867C7">
        <w:rPr>
          <w:rFonts w:cs="Times New Roman"/>
          <w:b/>
        </w:rPr>
        <w:t>CONCLUSION</w:t>
      </w:r>
    </w:p>
    <w:p w14:paraId="764654B8" w14:textId="21B3201F" w:rsidR="00C579CD" w:rsidRDefault="00C579CD" w:rsidP="00C579CD">
      <w:pPr>
        <w:spacing w:line="480" w:lineRule="auto"/>
        <w:rPr>
          <w:rFonts w:cs="Times New Roman"/>
        </w:rPr>
      </w:pPr>
      <w:r>
        <w:rPr>
          <w:rFonts w:cs="Times New Roman"/>
        </w:rPr>
        <w:tab/>
      </w:r>
      <w:r w:rsidR="00AA2E66">
        <w:rPr>
          <w:rFonts w:cs="Times New Roman"/>
        </w:rPr>
        <w:t>At t</w:t>
      </w:r>
      <w:r w:rsidR="00D217FF">
        <w:rPr>
          <w:rFonts w:cs="Times New Roman"/>
        </w:rPr>
        <w:t xml:space="preserve">his </w:t>
      </w:r>
      <w:r w:rsidR="00AA2E66">
        <w:rPr>
          <w:rFonts w:cs="Times New Roman"/>
        </w:rPr>
        <w:t>hearing, the Committee looks forward to hearing feedback from the</w:t>
      </w:r>
      <w:r>
        <w:rPr>
          <w:rFonts w:cs="Times New Roman"/>
        </w:rPr>
        <w:t xml:space="preserve"> </w:t>
      </w:r>
      <w:r w:rsidR="00AA2E66">
        <w:rPr>
          <w:rFonts w:cs="Times New Roman"/>
        </w:rPr>
        <w:t>Administration and interested stakeholders on the proposed legislat</w:t>
      </w:r>
      <w:r>
        <w:rPr>
          <w:rFonts w:cs="Times New Roman"/>
        </w:rPr>
        <w:t>i</w:t>
      </w:r>
      <w:r w:rsidR="007E5F15">
        <w:rPr>
          <w:rFonts w:cs="Times New Roman"/>
        </w:rPr>
        <w:t>on.</w:t>
      </w:r>
    </w:p>
    <w:p w14:paraId="6FE40912" w14:textId="77777777" w:rsidR="00C579CD" w:rsidRDefault="00C579CD">
      <w:pPr>
        <w:rPr>
          <w:rFonts w:cs="Times New Roman"/>
        </w:rPr>
      </w:pPr>
      <w:r>
        <w:rPr>
          <w:rFonts w:cs="Times New Roman"/>
        </w:rPr>
        <w:br w:type="page"/>
      </w:r>
    </w:p>
    <w:p w14:paraId="789C5D45" w14:textId="77777777" w:rsidR="004867C7" w:rsidRPr="00775367" w:rsidRDefault="004867C7" w:rsidP="00C579CD">
      <w:pPr>
        <w:spacing w:line="480" w:lineRule="auto"/>
        <w:rPr>
          <w:rFonts w:cs="Times New Roman"/>
        </w:rPr>
        <w:sectPr w:rsidR="004867C7" w:rsidRPr="00775367" w:rsidSect="008733BE">
          <w:footerReference w:type="default" r:id="rId9"/>
          <w:pgSz w:w="12240" w:h="15840"/>
          <w:pgMar w:top="1440" w:right="1440" w:bottom="1440" w:left="1440" w:header="720" w:footer="433" w:gutter="0"/>
          <w:cols w:space="720"/>
        </w:sectPr>
      </w:pPr>
    </w:p>
    <w:p w14:paraId="5C8F7C4C" w14:textId="0BA57DA9" w:rsidR="001A540E" w:rsidRPr="001A540E" w:rsidRDefault="001A540E" w:rsidP="00933352">
      <w:pPr>
        <w:jc w:val="center"/>
        <w:rPr>
          <w:rFonts w:eastAsia="Times New Roman" w:cs="Times New Roman"/>
          <w:szCs w:val="24"/>
          <w:lang w:eastAsia="zh-CN"/>
        </w:rPr>
      </w:pPr>
      <w:r w:rsidRPr="001A540E">
        <w:rPr>
          <w:rFonts w:eastAsia="Times New Roman" w:cs="Times New Roman"/>
          <w:szCs w:val="24"/>
          <w:lang w:eastAsia="zh-CN"/>
        </w:rPr>
        <w:lastRenderedPageBreak/>
        <w:t>Int. No. 943</w:t>
      </w:r>
    </w:p>
    <w:p w14:paraId="07A05A6C" w14:textId="7D496B51" w:rsidR="001A540E" w:rsidRPr="001A540E" w:rsidRDefault="001A540E" w:rsidP="001A540E">
      <w:pPr>
        <w:suppressLineNumbers/>
        <w:spacing w:after="0" w:line="240" w:lineRule="auto"/>
        <w:jc w:val="both"/>
        <w:rPr>
          <w:rFonts w:eastAsia="Times New Roman" w:cs="Times New Roman"/>
          <w:szCs w:val="24"/>
        </w:rPr>
      </w:pPr>
      <w:r w:rsidRPr="001A540E">
        <w:rPr>
          <w:rFonts w:eastAsia="Times New Roman" w:cs="Times New Roman"/>
          <w:szCs w:val="24"/>
        </w:rPr>
        <w:t>By Council Members Marte, Ariola, Hanif, Wilson, Brewer, Cabán, Epstein, Nurse, Wong, Won, Morano, Gutiérrez, Restler</w:t>
      </w:r>
      <w:r w:rsidR="007E5F15">
        <w:rPr>
          <w:rFonts w:eastAsia="Times New Roman" w:cs="Times New Roman"/>
          <w:szCs w:val="24"/>
        </w:rPr>
        <w:t>, Krishnan</w:t>
      </w:r>
      <w:r w:rsidR="008513EF">
        <w:rPr>
          <w:rFonts w:eastAsia="Times New Roman" w:cs="Times New Roman"/>
          <w:szCs w:val="24"/>
        </w:rPr>
        <w:t xml:space="preserve">, </w:t>
      </w:r>
      <w:r w:rsidR="007E5F15">
        <w:rPr>
          <w:rFonts w:eastAsia="Times New Roman" w:cs="Times New Roman"/>
          <w:szCs w:val="24"/>
        </w:rPr>
        <w:t>Abreu</w:t>
      </w:r>
      <w:r w:rsidR="008513EF">
        <w:rPr>
          <w:rFonts w:eastAsia="Times New Roman" w:cs="Times New Roman"/>
          <w:szCs w:val="24"/>
        </w:rPr>
        <w:t>, Banks</w:t>
      </w:r>
      <w:r w:rsidR="00CF23B6">
        <w:rPr>
          <w:rFonts w:eastAsia="Times New Roman" w:cs="Times New Roman"/>
          <w:szCs w:val="24"/>
        </w:rPr>
        <w:t xml:space="preserve">, </w:t>
      </w:r>
      <w:r w:rsidR="008513EF">
        <w:rPr>
          <w:rFonts w:eastAsia="Times New Roman" w:cs="Times New Roman"/>
          <w:szCs w:val="24"/>
        </w:rPr>
        <w:t>Ossé</w:t>
      </w:r>
      <w:r w:rsidR="00CF23B6">
        <w:rPr>
          <w:rFonts w:eastAsia="Times New Roman" w:cs="Times New Roman"/>
          <w:szCs w:val="24"/>
        </w:rPr>
        <w:t>, Schulman, Hanks, Feliz</w:t>
      </w:r>
      <w:r w:rsidR="008513EF">
        <w:rPr>
          <w:rFonts w:eastAsia="Times New Roman" w:cs="Times New Roman"/>
          <w:szCs w:val="24"/>
        </w:rPr>
        <w:t xml:space="preserve"> and </w:t>
      </w:r>
      <w:r w:rsidR="00CF23B6">
        <w:rPr>
          <w:rFonts w:eastAsia="Times New Roman" w:cs="Times New Roman"/>
          <w:szCs w:val="24"/>
        </w:rPr>
        <w:t>Vernikov</w:t>
      </w:r>
      <w:r w:rsidRPr="001A540E">
        <w:rPr>
          <w:rFonts w:eastAsia="Times New Roman" w:cs="Times New Roman"/>
          <w:szCs w:val="24"/>
        </w:rPr>
        <w:t xml:space="preserve"> (in conjunction with the Manhattan Borough President)</w:t>
      </w:r>
    </w:p>
    <w:p w14:paraId="2DB9A51F" w14:textId="77777777" w:rsidR="001A540E" w:rsidRPr="001A540E" w:rsidRDefault="001A540E" w:rsidP="001A540E">
      <w:pPr>
        <w:suppressLineNumbers/>
        <w:spacing w:after="0" w:line="240" w:lineRule="auto"/>
        <w:jc w:val="both"/>
        <w:rPr>
          <w:rFonts w:eastAsia="Times New Roman" w:cs="Times New Roman"/>
          <w:szCs w:val="24"/>
          <w:lang w:eastAsia="zh-CN"/>
        </w:rPr>
      </w:pPr>
    </w:p>
    <w:p w14:paraId="46005F77" w14:textId="77777777" w:rsidR="001A540E" w:rsidRPr="001A540E" w:rsidRDefault="001A540E" w:rsidP="001A540E">
      <w:pPr>
        <w:suppressLineNumbers/>
        <w:spacing w:after="0" w:line="240" w:lineRule="auto"/>
        <w:jc w:val="both"/>
        <w:rPr>
          <w:rFonts w:eastAsia="Times New Roman" w:cs="Times New Roman"/>
          <w:vanish/>
          <w:szCs w:val="24"/>
          <w:lang w:eastAsia="zh-CN"/>
        </w:rPr>
      </w:pPr>
      <w:r w:rsidRPr="001A540E">
        <w:rPr>
          <w:rFonts w:eastAsia="Times New Roman" w:cs="Times New Roman"/>
          <w:vanish/>
          <w:szCs w:val="24"/>
          <w:lang w:eastAsia="zh-CN"/>
        </w:rPr>
        <w:t>..Title</w:t>
      </w:r>
    </w:p>
    <w:p w14:paraId="175B43D5" w14:textId="77777777" w:rsidR="001A540E" w:rsidRPr="001A540E" w:rsidRDefault="001A540E" w:rsidP="001A540E">
      <w:pPr>
        <w:suppressLineNumbers/>
        <w:spacing w:after="0" w:line="240" w:lineRule="auto"/>
        <w:jc w:val="both"/>
        <w:rPr>
          <w:rFonts w:eastAsia="Times New Roman" w:cs="Times New Roman"/>
          <w:szCs w:val="24"/>
          <w:lang w:eastAsia="zh-CN"/>
        </w:rPr>
      </w:pPr>
      <w:r w:rsidRPr="001A540E">
        <w:rPr>
          <w:rFonts w:eastAsia="Times New Roman" w:cs="Times New Roman"/>
          <w:szCs w:val="24"/>
          <w:lang w:eastAsia="zh-CN"/>
        </w:rPr>
        <w:t>A Local Law to amend the administrative code of the city of New York, in relation to prohibiting the operation of horse drawn cabs, and to repeal sections 17-334.1, 19-174, 20-377, 20-377.1, 20-380, 20-381, 20-381.1, 20-381.2, 20-382 and subdivisions b, c, and d of section 20-383 of the administrative code of the city of New York, relating to carriage horses and horse drawn cabs, and to repeal sections thirteen, nineteen, and twenty-one of this local law upon the expiration thereof</w:t>
      </w:r>
    </w:p>
    <w:p w14:paraId="2345EF90" w14:textId="77777777" w:rsidR="001A540E" w:rsidRPr="001A540E" w:rsidRDefault="001A540E" w:rsidP="001A540E">
      <w:pPr>
        <w:suppressLineNumbers/>
        <w:spacing w:after="0" w:line="240" w:lineRule="auto"/>
        <w:jc w:val="both"/>
        <w:rPr>
          <w:rFonts w:eastAsia="Times New Roman" w:cs="Times New Roman"/>
          <w:vanish/>
          <w:szCs w:val="24"/>
          <w:lang w:eastAsia="zh-CN"/>
        </w:rPr>
      </w:pPr>
      <w:r w:rsidRPr="001A540E">
        <w:rPr>
          <w:rFonts w:eastAsia="Times New Roman" w:cs="Times New Roman"/>
          <w:vanish/>
          <w:szCs w:val="24"/>
          <w:lang w:eastAsia="zh-CN"/>
        </w:rPr>
        <w:t>..Body</w:t>
      </w:r>
    </w:p>
    <w:p w14:paraId="4D042F18" w14:textId="77777777" w:rsidR="001A540E" w:rsidRPr="001A540E" w:rsidRDefault="001A540E" w:rsidP="001A540E">
      <w:pPr>
        <w:suppressLineNumbers/>
        <w:spacing w:after="0" w:line="240" w:lineRule="auto"/>
        <w:jc w:val="both"/>
        <w:rPr>
          <w:rFonts w:eastAsia="Times New Roman" w:cs="Times New Roman"/>
          <w:szCs w:val="24"/>
          <w:lang w:eastAsia="zh-CN"/>
        </w:rPr>
      </w:pPr>
    </w:p>
    <w:p w14:paraId="348F8602" w14:textId="77777777" w:rsidR="001A540E" w:rsidRPr="001A540E" w:rsidRDefault="001A540E" w:rsidP="001A540E">
      <w:pPr>
        <w:suppressLineNumbers/>
        <w:spacing w:after="0" w:line="480" w:lineRule="auto"/>
        <w:jc w:val="both"/>
        <w:rPr>
          <w:rFonts w:eastAsia="Times New Roman" w:cs="Times New Roman"/>
          <w:szCs w:val="24"/>
          <w:u w:val="single"/>
          <w:lang w:eastAsia="zh-CN"/>
        </w:rPr>
        <w:sectPr w:rsidR="001A540E" w:rsidRPr="001A540E" w:rsidSect="001A540E">
          <w:footerReference w:type="default" r:id="rId10"/>
          <w:type w:val="continuous"/>
          <w:pgSz w:w="12240" w:h="15840"/>
          <w:pgMar w:top="1440" w:right="1800" w:bottom="1440" w:left="1800" w:header="720" w:footer="720" w:gutter="0"/>
          <w:cols w:space="720"/>
          <w:noEndnote/>
        </w:sectPr>
      </w:pPr>
      <w:r w:rsidRPr="001A540E">
        <w:rPr>
          <w:rFonts w:eastAsia="Times New Roman" w:cs="Times New Roman"/>
          <w:szCs w:val="24"/>
          <w:u w:val="single"/>
          <w:lang w:eastAsia="zh-CN"/>
        </w:rPr>
        <w:t>Be it enacted by the Council as follows:</w:t>
      </w:r>
    </w:p>
    <w:p w14:paraId="0114CFD9" w14:textId="77777777" w:rsidR="001A540E" w:rsidRPr="001A540E" w:rsidRDefault="001A540E" w:rsidP="001A540E">
      <w:pPr>
        <w:spacing w:after="0" w:line="480" w:lineRule="auto"/>
        <w:jc w:val="both"/>
        <w:rPr>
          <w:rFonts w:eastAsia="Times New Roman" w:cs="Times New Roman"/>
          <w:szCs w:val="24"/>
          <w:lang w:eastAsia="zh-CN"/>
        </w:rPr>
      </w:pPr>
      <w:r w:rsidRPr="001A540E">
        <w:rPr>
          <w:rFonts w:eastAsia="Times New Roman" w:cs="Times New Roman"/>
          <w:szCs w:val="24"/>
          <w:lang w:eastAsia="zh-CN"/>
        </w:rPr>
        <w:tab/>
        <w:t>Section 1. Section 17-326 of the administrative code of the city of New York, as amended by local law number 203 for the year 2019, is amended to read as follows:</w:t>
      </w:r>
    </w:p>
    <w:p w14:paraId="1676787F"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 17-326 Definitions. Whenever used in this subchapter, the following terms have the following meanings: </w:t>
      </w:r>
    </w:p>
    <w:p w14:paraId="59F9709C"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ASPCA. The term "ASPCA" means the American Society for the Prevention of Cruelty to Animals. </w:t>
      </w:r>
    </w:p>
    <w:p w14:paraId="5161F929"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[Carriage horse. The term "carriage horse" means any horse which is used by its owner or any other person to pull any vehicle, carriage, sled, sleigh or other device in exchange for a fee. A horse rented or leased by its owner to another for any of the foregoing purposes shall be deemed to be a carriage horse for the purposes of this subchapter. A horse used for any other purpose shall not be deemed to be a carriage horse for the purposes of this subchapter.</w:t>
      </w:r>
    </w:p>
    <w:p w14:paraId="36A06C04"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Equine heat index. The term "equine heat index" means the sum of the air temperature, in degrees Fahrenheit, and the relative humidity at a particular point in time.] </w:t>
      </w:r>
    </w:p>
    <w:p w14:paraId="435CB24A"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lastRenderedPageBreak/>
        <w:t xml:space="preserve">Owner. The term "owner" means the owner of a horse [which] </w:t>
      </w:r>
      <w:r w:rsidRPr="001A540E">
        <w:rPr>
          <w:rFonts w:eastAsia="Times New Roman" w:cs="Times New Roman"/>
          <w:szCs w:val="24"/>
          <w:u w:val="single"/>
          <w:lang w:eastAsia="zh-CN"/>
        </w:rPr>
        <w:t>that</w:t>
      </w:r>
      <w:r w:rsidRPr="001A540E">
        <w:rPr>
          <w:rFonts w:eastAsia="Times New Roman" w:cs="Times New Roman"/>
          <w:szCs w:val="24"/>
          <w:lang w:eastAsia="zh-CN"/>
        </w:rPr>
        <w:t xml:space="preserve"> is required to be licensed pursuant to this subchapter and the owner of a rental horse business in which such horse is used. </w:t>
      </w:r>
    </w:p>
    <w:p w14:paraId="56309CBE"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[Person. The term "person" means an individual, partnership, corporation, association or other legal entity. </w:t>
      </w:r>
    </w:p>
    <w:p w14:paraId="21FA1964"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Relative humidity. The term "relative humidity" means the value, expressed as a percentage, determined by a device designed to measure relative humidity.] </w:t>
      </w:r>
    </w:p>
    <w:p w14:paraId="12ACC82E"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Rental horse. The term "rental horse" means a horse [which] </w:t>
      </w:r>
      <w:r w:rsidRPr="001A540E">
        <w:rPr>
          <w:rFonts w:eastAsia="Times New Roman" w:cs="Times New Roman"/>
          <w:szCs w:val="24"/>
          <w:u w:val="single"/>
          <w:lang w:eastAsia="zh-CN"/>
        </w:rPr>
        <w:t>that</w:t>
      </w:r>
      <w:r w:rsidRPr="001A540E">
        <w:rPr>
          <w:rFonts w:eastAsia="Times New Roman" w:cs="Times New Roman"/>
          <w:szCs w:val="24"/>
          <w:lang w:eastAsia="zh-CN"/>
        </w:rPr>
        <w:t xml:space="preserve"> is used in a rental horse business. </w:t>
      </w:r>
    </w:p>
    <w:p w14:paraId="09883EB1"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Rental horse business. The term "rental horse business" means a business enterprise [which] </w:t>
      </w:r>
      <w:r w:rsidRPr="001A540E">
        <w:rPr>
          <w:rFonts w:eastAsia="Times New Roman" w:cs="Times New Roman"/>
          <w:szCs w:val="24"/>
          <w:u w:val="single"/>
          <w:lang w:eastAsia="zh-CN"/>
        </w:rPr>
        <w:t>that</w:t>
      </w:r>
      <w:r w:rsidRPr="001A540E">
        <w:rPr>
          <w:rFonts w:eastAsia="Times New Roman" w:cs="Times New Roman"/>
          <w:szCs w:val="24"/>
          <w:lang w:eastAsia="zh-CN"/>
        </w:rPr>
        <w:t xml:space="preserve"> provides or offers the use of a horse to the public for a fee for the purpose of riding [or drawing a horse drawn vehicle or which operates a horse drawn vehicle for hire such as a horse drawn cab]. </w:t>
      </w:r>
    </w:p>
    <w:p w14:paraId="4AD9C5B2"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Riding horse. The term "riding horse" means a horse [which] </w:t>
      </w:r>
      <w:r w:rsidRPr="001A540E">
        <w:rPr>
          <w:rFonts w:eastAsia="Times New Roman" w:cs="Times New Roman"/>
          <w:szCs w:val="24"/>
          <w:u w:val="single"/>
          <w:lang w:eastAsia="zh-CN"/>
        </w:rPr>
        <w:t>that</w:t>
      </w:r>
      <w:r w:rsidRPr="001A540E">
        <w:rPr>
          <w:rFonts w:eastAsia="Times New Roman" w:cs="Times New Roman"/>
          <w:szCs w:val="24"/>
          <w:lang w:eastAsia="zh-CN"/>
        </w:rPr>
        <w:t xml:space="preserve"> is available to the public for a fee for the purpose of riding. </w:t>
      </w:r>
    </w:p>
    <w:p w14:paraId="1F821CC0"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Stable. The term "stable" means any place, establishment</w:t>
      </w:r>
      <w:r w:rsidRPr="001A540E">
        <w:rPr>
          <w:rFonts w:eastAsia="Times New Roman" w:cs="Times New Roman"/>
          <w:szCs w:val="24"/>
          <w:u w:val="single"/>
          <w:lang w:eastAsia="zh-CN"/>
        </w:rPr>
        <w:t>,</w:t>
      </w:r>
      <w:r w:rsidRPr="001A540E">
        <w:rPr>
          <w:rFonts w:eastAsia="Times New Roman" w:cs="Times New Roman"/>
          <w:szCs w:val="24"/>
          <w:lang w:eastAsia="zh-CN"/>
        </w:rPr>
        <w:t xml:space="preserve"> or facility where one or more rental horses are housed or maintained. </w:t>
      </w:r>
    </w:p>
    <w:p w14:paraId="5D95B87B"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Under tack. The term "under tack" means that a horse is equipped for riding [or driving]. </w:t>
      </w:r>
    </w:p>
    <w:p w14:paraId="53D33281"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Veterinarian. The term "veterinarian" means a person licensed to practice veterinary medicine in the state of New York. </w:t>
      </w:r>
    </w:p>
    <w:p w14:paraId="68456750"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Work. A horse is considered to be at "work" when it is out of its stable and presented to the public as being available for riding[, pulling carriages, vehicles or other devices,] or </w:t>
      </w:r>
      <w:r w:rsidRPr="001A540E">
        <w:rPr>
          <w:rFonts w:eastAsia="Times New Roman" w:cs="Times New Roman"/>
          <w:szCs w:val="24"/>
          <w:lang w:eastAsia="zh-CN"/>
        </w:rPr>
        <w:lastRenderedPageBreak/>
        <w:t xml:space="preserve">when it is saddled [or in harness] or [when it is] being ridden [or is pulling a carriage, vehicle or device]. </w:t>
      </w:r>
    </w:p>
    <w:p w14:paraId="499949D8"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2. Subdivisions b and e of section 17-327 of the administrative code of the city of New York, and subdivision d of such section, as amended by local law number 80 for the year 2020, are amended to read as follows:</w:t>
      </w:r>
    </w:p>
    <w:p w14:paraId="18B2BEE2"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b. A license shall be issued for a term of [one] </w:t>
      </w:r>
      <w:r w:rsidRPr="001A540E">
        <w:rPr>
          <w:rFonts w:eastAsia="Times New Roman" w:cs="Times New Roman"/>
          <w:szCs w:val="20"/>
          <w:u w:val="single"/>
          <w:lang w:eastAsia="zh-CN"/>
        </w:rPr>
        <w:t>1</w:t>
      </w:r>
      <w:r w:rsidRPr="001A540E">
        <w:rPr>
          <w:rFonts w:eastAsia="Times New Roman" w:cs="Times New Roman"/>
          <w:szCs w:val="20"/>
          <w:lang w:eastAsia="zh-CN"/>
        </w:rPr>
        <w:t xml:space="preserve"> year from the date of issuance thereof and shall be renewed prior to the expiration of such term</w:t>
      </w:r>
      <w:r w:rsidRPr="001A540E">
        <w:rPr>
          <w:rFonts w:eastAsia="Times New Roman" w:cs="Times New Roman"/>
          <w:szCs w:val="20"/>
          <w:u w:val="single"/>
          <w:lang w:eastAsia="zh-CN"/>
        </w:rPr>
        <w:t>; provided, however, that no new application for a license for a horse used in the operation of a horse drawn cab shall be accepted after May 31, 2028, and that a valid unexpired license may be renewed for a limited term and shall expire no later than June 1, 2028</w:t>
      </w:r>
      <w:r w:rsidRPr="001A540E">
        <w:rPr>
          <w:rFonts w:eastAsia="Times New Roman" w:cs="Times New Roman"/>
          <w:szCs w:val="20"/>
          <w:lang w:eastAsia="zh-CN"/>
        </w:rPr>
        <w:t>.</w:t>
      </w:r>
    </w:p>
    <w:p w14:paraId="1C51AEA8"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d. Application for a license or the renewal of a license shall be made to the department [of health and mental hygiene]. Such application shall contain the name and address of the owner of the horse and of the owner of the rental horse business in which such horse is to be used if such person is not the owner of the horse, the age, sex, color, markings</w:t>
      </w:r>
      <w:r w:rsidRPr="001A540E">
        <w:rPr>
          <w:rFonts w:eastAsia="Times New Roman" w:cs="Times New Roman"/>
          <w:szCs w:val="20"/>
          <w:u w:val="single"/>
          <w:lang w:eastAsia="zh-CN"/>
        </w:rPr>
        <w:t>,</w:t>
      </w:r>
      <w:r w:rsidRPr="001A540E">
        <w:rPr>
          <w:rFonts w:eastAsia="Times New Roman" w:cs="Times New Roman"/>
          <w:szCs w:val="20"/>
          <w:lang w:eastAsia="zh-CN"/>
        </w:rPr>
        <w:t xml:space="preserve"> and any other identifying marks such as brands or tattoos of the horse, the location of the stable where the horse is to be kept</w:t>
      </w:r>
      <w:r w:rsidRPr="001A540E">
        <w:rPr>
          <w:rFonts w:eastAsia="Times New Roman" w:cs="Times New Roman"/>
          <w:szCs w:val="20"/>
          <w:u w:val="single"/>
          <w:lang w:eastAsia="zh-CN"/>
        </w:rPr>
        <w:t>,</w:t>
      </w:r>
      <w:r w:rsidRPr="001A540E">
        <w:rPr>
          <w:rFonts w:eastAsia="Times New Roman" w:cs="Times New Roman"/>
          <w:szCs w:val="20"/>
          <w:lang w:eastAsia="zh-CN"/>
        </w:rPr>
        <w:t xml:space="preserve"> and any other information [which] </w:t>
      </w:r>
      <w:r w:rsidRPr="001A540E">
        <w:rPr>
          <w:rFonts w:eastAsia="Times New Roman" w:cs="Times New Roman"/>
          <w:szCs w:val="20"/>
          <w:u w:val="single"/>
          <w:lang w:eastAsia="zh-CN"/>
        </w:rPr>
        <w:t>that</w:t>
      </w:r>
      <w:r w:rsidRPr="001A540E">
        <w:rPr>
          <w:rFonts w:eastAsia="Times New Roman" w:cs="Times New Roman"/>
          <w:szCs w:val="20"/>
          <w:lang w:eastAsia="zh-CN"/>
        </w:rPr>
        <w:t xml:space="preserve"> the commissioner [of health and mental hygiene] may require. An application with respect to a horse which is used in the operation of a “horse drawn cab” [as defined in subchapter twenty-one of chapter two of title twenty of this code] shall include the identification number required to be inscribed on such [horses] </w:t>
      </w:r>
      <w:r w:rsidRPr="001A540E">
        <w:rPr>
          <w:rFonts w:eastAsia="Times New Roman" w:cs="Times New Roman"/>
          <w:szCs w:val="20"/>
          <w:u w:val="single"/>
          <w:lang w:eastAsia="zh-CN"/>
        </w:rPr>
        <w:t>horse’s</w:t>
      </w:r>
      <w:r w:rsidRPr="001A540E">
        <w:rPr>
          <w:rFonts w:eastAsia="Times New Roman" w:cs="Times New Roman"/>
          <w:szCs w:val="20"/>
          <w:lang w:eastAsia="zh-CN"/>
        </w:rPr>
        <w:t xml:space="preserve"> hoof pursuant to [the rules and regulations of the department of consumer and worker protection] </w:t>
      </w:r>
      <w:r w:rsidRPr="001A540E">
        <w:rPr>
          <w:rFonts w:eastAsia="Times New Roman" w:cs="Times New Roman"/>
          <w:szCs w:val="20"/>
          <w:u w:val="single"/>
          <w:lang w:eastAsia="zh-CN"/>
        </w:rPr>
        <w:t>subdivision a of section 17-328 and the rules of the commissioner</w:t>
      </w:r>
      <w:r w:rsidRPr="001A540E">
        <w:rPr>
          <w:rFonts w:eastAsia="Times New Roman" w:cs="Times New Roman"/>
          <w:szCs w:val="20"/>
          <w:lang w:eastAsia="zh-CN"/>
        </w:rPr>
        <w:t xml:space="preserve">. The application shall be accompanied by the license or renewal fee. </w:t>
      </w:r>
    </w:p>
    <w:p w14:paraId="04A6329C" w14:textId="77777777" w:rsidR="001A540E" w:rsidRPr="001A540E" w:rsidRDefault="001A540E" w:rsidP="001A540E">
      <w:pPr>
        <w:suppressAutoHyphens/>
        <w:spacing w:after="0" w:line="480" w:lineRule="auto"/>
        <w:ind w:firstLine="720"/>
        <w:jc w:val="both"/>
        <w:rPr>
          <w:rFonts w:eastAsia="Times New Roman" w:cs="Times New Roman"/>
          <w:szCs w:val="20"/>
          <w:u w:val="single"/>
          <w:lang w:eastAsia="zh-CN"/>
        </w:rPr>
      </w:pPr>
      <w:r w:rsidRPr="001A540E">
        <w:rPr>
          <w:rFonts w:eastAsia="Times New Roman" w:cs="Times New Roman"/>
          <w:szCs w:val="20"/>
          <w:lang w:eastAsia="zh-CN"/>
        </w:rPr>
        <w:lastRenderedPageBreak/>
        <w:t xml:space="preserve">e. No license shall be transferable. </w:t>
      </w:r>
      <w:r w:rsidRPr="001A540E">
        <w:rPr>
          <w:rFonts w:eastAsia="Times New Roman" w:cs="Times New Roman"/>
          <w:szCs w:val="20"/>
          <w:u w:val="single"/>
          <w:lang w:eastAsia="zh-CN"/>
        </w:rPr>
        <w:t>1.</w:t>
      </w:r>
      <w:r w:rsidRPr="001A540E">
        <w:rPr>
          <w:rFonts w:eastAsia="Times New Roman" w:cs="Times New Roman"/>
          <w:szCs w:val="20"/>
          <w:lang w:eastAsia="zh-CN"/>
        </w:rPr>
        <w:t xml:space="preserve"> Upon the transfer of ownership of any horse to a new owner, the new owner shall obtain a</w:t>
      </w:r>
      <w:r w:rsidRPr="001A540E">
        <w:rPr>
          <w:rFonts w:eastAsia="Times New Roman" w:cs="Times New Roman"/>
          <w:b/>
          <w:szCs w:val="20"/>
          <w:lang w:eastAsia="zh-CN"/>
        </w:rPr>
        <w:t xml:space="preserve"> </w:t>
      </w:r>
      <w:r w:rsidRPr="001A540E">
        <w:rPr>
          <w:rFonts w:eastAsia="Times New Roman" w:cs="Times New Roman"/>
          <w:szCs w:val="20"/>
          <w:lang w:eastAsia="zh-CN"/>
        </w:rPr>
        <w:t xml:space="preserve">license for such horse within [fifteen] </w:t>
      </w:r>
      <w:r w:rsidRPr="001A540E">
        <w:rPr>
          <w:rFonts w:eastAsia="Times New Roman" w:cs="Times New Roman"/>
          <w:szCs w:val="20"/>
          <w:u w:val="single"/>
          <w:lang w:eastAsia="zh-CN"/>
        </w:rPr>
        <w:t>15</w:t>
      </w:r>
      <w:r w:rsidRPr="001A540E">
        <w:rPr>
          <w:rFonts w:eastAsia="Times New Roman" w:cs="Times New Roman"/>
          <w:szCs w:val="20"/>
          <w:lang w:eastAsia="zh-CN"/>
        </w:rPr>
        <w:t xml:space="preserve"> days after the date of the transfer of ownership</w:t>
      </w:r>
      <w:r w:rsidRPr="001A540E">
        <w:rPr>
          <w:rFonts w:eastAsia="Times New Roman" w:cs="Times New Roman"/>
          <w:szCs w:val="20"/>
          <w:u w:val="single"/>
          <w:lang w:eastAsia="zh-CN"/>
        </w:rPr>
        <w:t>; provided, however, that a license for a horse used in the operation of a horse drawn cab shall be surrendered to the commissioner by the former owner. Notwithstanding subdivision b of this section, a new owner shall be eligible for a license for a horse used in the operation of a horse drawn cab and for the renewal of such license, provided that such license shall expire on June 1, 2028</w:t>
      </w:r>
      <w:r w:rsidRPr="001A540E">
        <w:rPr>
          <w:rFonts w:eastAsia="Times New Roman" w:cs="Times New Roman"/>
          <w:szCs w:val="20"/>
          <w:lang w:eastAsia="zh-CN"/>
        </w:rPr>
        <w:t>.</w:t>
      </w:r>
    </w:p>
    <w:p w14:paraId="76F03A66" w14:textId="77777777" w:rsidR="001A540E" w:rsidRPr="001A540E" w:rsidRDefault="001A540E" w:rsidP="001A540E">
      <w:pPr>
        <w:suppressAutoHyphens/>
        <w:spacing w:after="0" w:line="480" w:lineRule="auto"/>
        <w:ind w:firstLine="720"/>
        <w:jc w:val="both"/>
        <w:rPr>
          <w:rFonts w:eastAsia="Times New Roman" w:cs="Times New Roman"/>
          <w:szCs w:val="20"/>
          <w:u w:val="single"/>
          <w:lang w:eastAsia="zh-CN"/>
        </w:rPr>
      </w:pPr>
      <w:r w:rsidRPr="001A540E">
        <w:rPr>
          <w:rFonts w:eastAsia="Times New Roman" w:cs="Times New Roman"/>
          <w:szCs w:val="20"/>
          <w:u w:val="single"/>
          <w:lang w:eastAsia="zh-CN"/>
        </w:rPr>
        <w:t>2. The holder of a license for a horse used in the operation of a horse drawn cab who retains such license and is eligible for renewal pursuant to subdivision b shall be permitted to substitute or replace a licensed horse that is lame, suffers from a physical condition or other illness making it unsuitable for work, or that retires, with another licensed horse, and maintain the number of licenses for a horse or horses used in the operation of a horse drawn cab that such licensee holds, provided that such licensee has complied with the requirements of section 17-329.</w:t>
      </w:r>
    </w:p>
    <w:p w14:paraId="78FD4FF1"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3. Section 17-329 of the administrative code of the city of New York is amended to read as follows:</w:t>
      </w:r>
    </w:p>
    <w:p w14:paraId="28F0B82E"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 17-329 Disposition of licensed horse. </w:t>
      </w:r>
      <w:r w:rsidRPr="001A540E">
        <w:rPr>
          <w:rFonts w:eastAsia="Times New Roman" w:cs="Times New Roman"/>
          <w:szCs w:val="20"/>
          <w:u w:val="single"/>
          <w:lang w:eastAsia="zh-CN"/>
        </w:rPr>
        <w:t>a.</w:t>
      </w:r>
      <w:r w:rsidRPr="001A540E">
        <w:rPr>
          <w:rFonts w:eastAsia="Times New Roman" w:cs="Times New Roman"/>
          <w:szCs w:val="20"/>
          <w:lang w:eastAsia="zh-CN"/>
        </w:rPr>
        <w:t xml:space="preserve"> The </w:t>
      </w:r>
      <w:r w:rsidRPr="001A540E">
        <w:rPr>
          <w:rFonts w:eastAsia="Times New Roman" w:cs="Times New Roman"/>
          <w:szCs w:val="20"/>
          <w:u w:val="single"/>
          <w:lang w:eastAsia="zh-CN"/>
        </w:rPr>
        <w:t>owner of a licensed horse shall notify the</w:t>
      </w:r>
      <w:r w:rsidRPr="001A540E">
        <w:rPr>
          <w:rFonts w:eastAsia="Times New Roman" w:cs="Times New Roman"/>
          <w:szCs w:val="20"/>
          <w:lang w:eastAsia="zh-CN"/>
        </w:rPr>
        <w:t xml:space="preserve"> department [shall be notified] of the [transfer of ownership or other] </w:t>
      </w:r>
      <w:r w:rsidRPr="001A540E">
        <w:rPr>
          <w:rFonts w:eastAsia="Times New Roman" w:cs="Times New Roman"/>
          <w:szCs w:val="20"/>
          <w:u w:val="single"/>
          <w:lang w:eastAsia="zh-CN"/>
        </w:rPr>
        <w:t>proposed</w:t>
      </w:r>
      <w:r w:rsidRPr="001A540E">
        <w:rPr>
          <w:rFonts w:eastAsia="Times New Roman" w:cs="Times New Roman"/>
          <w:szCs w:val="20"/>
          <w:lang w:eastAsia="zh-CN"/>
        </w:rPr>
        <w:t xml:space="preserve"> disposition of a licensed horse [within ten] </w:t>
      </w:r>
      <w:r w:rsidRPr="001A540E">
        <w:rPr>
          <w:rFonts w:eastAsia="Times New Roman" w:cs="Times New Roman"/>
          <w:szCs w:val="20"/>
          <w:u w:val="single"/>
          <w:lang w:eastAsia="zh-CN"/>
        </w:rPr>
        <w:t>at least 5</w:t>
      </w:r>
      <w:r w:rsidRPr="001A540E">
        <w:rPr>
          <w:rFonts w:eastAsia="Times New Roman" w:cs="Times New Roman"/>
          <w:szCs w:val="20"/>
          <w:lang w:eastAsia="zh-CN"/>
        </w:rPr>
        <w:t xml:space="preserve"> days [thereafter] </w:t>
      </w:r>
      <w:r w:rsidRPr="001A540E">
        <w:rPr>
          <w:rFonts w:eastAsia="Times New Roman" w:cs="Times New Roman"/>
          <w:szCs w:val="20"/>
          <w:u w:val="single"/>
          <w:lang w:eastAsia="zh-CN"/>
        </w:rPr>
        <w:t>prior to the proposed disposition</w:t>
      </w:r>
      <w:r w:rsidRPr="001A540E">
        <w:rPr>
          <w:rFonts w:eastAsia="Times New Roman" w:cs="Times New Roman"/>
          <w:szCs w:val="20"/>
          <w:lang w:eastAsia="zh-CN"/>
        </w:rPr>
        <w:t xml:space="preserve">. Such notice shall include the date of </w:t>
      </w:r>
      <w:r w:rsidRPr="001A540E">
        <w:rPr>
          <w:rFonts w:eastAsia="Times New Roman" w:cs="Times New Roman"/>
          <w:szCs w:val="20"/>
          <w:u w:val="single"/>
          <w:lang w:eastAsia="zh-CN"/>
        </w:rPr>
        <w:t>the proposed</w:t>
      </w:r>
      <w:r w:rsidRPr="001A540E">
        <w:rPr>
          <w:rFonts w:eastAsia="Times New Roman" w:cs="Times New Roman"/>
          <w:szCs w:val="20"/>
          <w:lang w:eastAsia="zh-CN"/>
        </w:rPr>
        <w:t xml:space="preserve"> disposition and [if sold in New York city,] the name [and]</w:t>
      </w:r>
      <w:r w:rsidRPr="001A540E">
        <w:rPr>
          <w:rFonts w:eastAsia="Times New Roman" w:cs="Times New Roman"/>
          <w:szCs w:val="20"/>
          <w:u w:val="single"/>
          <w:lang w:eastAsia="zh-CN"/>
        </w:rPr>
        <w:t>,</w:t>
      </w:r>
      <w:r w:rsidRPr="001A540E">
        <w:rPr>
          <w:rFonts w:eastAsia="Times New Roman" w:cs="Times New Roman"/>
          <w:szCs w:val="20"/>
          <w:lang w:eastAsia="zh-CN"/>
        </w:rPr>
        <w:t xml:space="preserve"> address</w:t>
      </w:r>
      <w:r w:rsidRPr="001A540E">
        <w:rPr>
          <w:rFonts w:eastAsia="Times New Roman" w:cs="Times New Roman"/>
          <w:szCs w:val="20"/>
          <w:u w:val="single"/>
          <w:lang w:eastAsia="zh-CN"/>
        </w:rPr>
        <w:t>, and telephone number</w:t>
      </w:r>
      <w:r w:rsidRPr="001A540E">
        <w:rPr>
          <w:rFonts w:eastAsia="Times New Roman" w:cs="Times New Roman"/>
          <w:szCs w:val="20"/>
          <w:lang w:eastAsia="zh-CN"/>
        </w:rPr>
        <w:t xml:space="preserve"> of the </w:t>
      </w:r>
      <w:r w:rsidRPr="001A540E">
        <w:rPr>
          <w:rFonts w:eastAsia="Times New Roman" w:cs="Times New Roman"/>
          <w:szCs w:val="20"/>
          <w:u w:val="single"/>
          <w:lang w:eastAsia="zh-CN"/>
        </w:rPr>
        <w:t>prospective</w:t>
      </w:r>
      <w:r w:rsidRPr="001A540E">
        <w:rPr>
          <w:rFonts w:eastAsia="Times New Roman" w:cs="Times New Roman"/>
          <w:szCs w:val="20"/>
          <w:lang w:eastAsia="zh-CN"/>
        </w:rPr>
        <w:t xml:space="preserve"> buyer or other transferee</w:t>
      </w:r>
      <w:r w:rsidRPr="001A540E">
        <w:rPr>
          <w:rFonts w:eastAsia="Times New Roman" w:cs="Times New Roman"/>
          <w:szCs w:val="20"/>
          <w:u w:val="single"/>
          <w:lang w:eastAsia="zh-CN"/>
        </w:rPr>
        <w:t>, the certification required pursuant to subdivision b of this section,</w:t>
      </w:r>
      <w:r w:rsidRPr="001A540E">
        <w:rPr>
          <w:rFonts w:eastAsia="Times New Roman" w:cs="Times New Roman"/>
          <w:szCs w:val="20"/>
          <w:lang w:eastAsia="zh-CN"/>
        </w:rPr>
        <w:t xml:space="preserve"> and such other information as the commissioner may prescribe.</w:t>
      </w:r>
    </w:p>
    <w:p w14:paraId="35D67848" w14:textId="77777777" w:rsidR="001A540E" w:rsidRPr="001A540E" w:rsidRDefault="001A540E" w:rsidP="001A540E">
      <w:pPr>
        <w:suppressAutoHyphens/>
        <w:spacing w:after="0" w:line="480" w:lineRule="auto"/>
        <w:ind w:firstLine="720"/>
        <w:jc w:val="both"/>
        <w:rPr>
          <w:rFonts w:eastAsia="Times New Roman" w:cs="Times New Roman"/>
          <w:szCs w:val="20"/>
          <w:u w:val="single"/>
          <w:lang w:eastAsia="zh-CN"/>
        </w:rPr>
      </w:pPr>
      <w:r w:rsidRPr="001A540E">
        <w:rPr>
          <w:rFonts w:eastAsia="Times New Roman" w:cs="Times New Roman"/>
          <w:szCs w:val="20"/>
          <w:u w:val="single"/>
          <w:lang w:eastAsia="zh-CN"/>
        </w:rPr>
        <w:lastRenderedPageBreak/>
        <w:t>b.</w:t>
      </w:r>
      <w:r w:rsidRPr="001A540E">
        <w:rPr>
          <w:rFonts w:eastAsia="Times New Roman" w:cs="Times New Roman"/>
          <w:szCs w:val="20"/>
          <w:lang w:eastAsia="zh-CN"/>
        </w:rPr>
        <w:t xml:space="preserve"> A </w:t>
      </w:r>
      <w:r w:rsidRPr="001A540E">
        <w:rPr>
          <w:rFonts w:eastAsia="Times New Roman" w:cs="Times New Roman"/>
          <w:szCs w:val="20"/>
          <w:u w:val="single"/>
          <w:lang w:eastAsia="zh-CN"/>
        </w:rPr>
        <w:t>licensed</w:t>
      </w:r>
      <w:r w:rsidRPr="001A540E">
        <w:rPr>
          <w:rFonts w:eastAsia="Times New Roman" w:cs="Times New Roman"/>
          <w:szCs w:val="20"/>
          <w:lang w:eastAsia="zh-CN"/>
        </w:rPr>
        <w:t xml:space="preserve"> horse shall not be [sold or] disposed of except in a humane manner</w:t>
      </w:r>
      <w:r w:rsidRPr="001A540E">
        <w:rPr>
          <w:rFonts w:eastAsia="Times New Roman" w:cs="Times New Roman"/>
          <w:szCs w:val="20"/>
          <w:u w:val="single"/>
          <w:lang w:eastAsia="zh-CN"/>
        </w:rPr>
        <w:t>, which, for the purposes of this subchapter, shall mean a licensed horse may not be sold or otherwise transferred to a person for purposes of slaughter, resale for slaughter, or holding or transport for slaughter, or for use in a horse drawn cab business. T</w:t>
      </w:r>
      <w:bookmarkStart w:id="0" w:name="_Hlk86936020"/>
      <w:r w:rsidRPr="001A540E">
        <w:rPr>
          <w:rFonts w:eastAsia="Times New Roman" w:cs="Times New Roman"/>
          <w:szCs w:val="20"/>
          <w:u w:val="single"/>
          <w:lang w:eastAsia="zh-CN"/>
        </w:rPr>
        <w:t>he owner of a licensed horse shall provide a statement in a form prescribed by the commissioner certifying that such horse will be sold or otherwise transferred not for purposes of slaughter, resale for slaughter, or holding or transport for slaughter, or for use in a horse drawn cab business, or any other inhumane purpose.</w:t>
      </w:r>
    </w:p>
    <w:p w14:paraId="7FD12523" w14:textId="77777777" w:rsidR="001A540E" w:rsidRPr="001A540E" w:rsidRDefault="001A540E" w:rsidP="001A540E">
      <w:pPr>
        <w:suppressAutoHyphens/>
        <w:spacing w:after="0" w:line="480" w:lineRule="auto"/>
        <w:ind w:firstLine="720"/>
        <w:jc w:val="both"/>
        <w:rPr>
          <w:rFonts w:eastAsia="Times New Roman" w:cs="Times New Roman"/>
          <w:szCs w:val="20"/>
          <w:u w:val="single"/>
          <w:lang w:eastAsia="zh-CN"/>
        </w:rPr>
      </w:pPr>
      <w:r w:rsidRPr="001A540E">
        <w:rPr>
          <w:rFonts w:eastAsia="Times New Roman" w:cs="Times New Roman"/>
          <w:szCs w:val="20"/>
          <w:u w:val="single"/>
          <w:lang w:eastAsia="zh-CN"/>
        </w:rPr>
        <w:t>c. The department shall conduct outreach to owners of licensed horses to inform them of their obligation to dispose of such horses in a humane manner as required by this section. Such outreach shall include information on individuals and organizations that are capable of receiving or acquiring such horses in a humane manner for humane purposes.</w:t>
      </w:r>
    </w:p>
    <w:bookmarkEnd w:id="0"/>
    <w:p w14:paraId="158ABEC2"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4. Section 17-330 of the administrative code of the city of New York, as added by local law number 2 for the year 1994, subdivisions b, c, g, l, n, p, q, and r of such section as amended by local law number 10 for the year 2010, subdivision j of such section as amended by local law number 80 for the year 2020, and subdivision o of such section as amended by local law number 203 for the year 2019, is amended to read as follows:</w:t>
      </w:r>
    </w:p>
    <w:p w14:paraId="06C4C284"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17-330 Regulations. a. The commissioner, with the advice of the advisory board as hereinafter established, shall promulgate such regulations as are necessary to carry out the provisions of this subchapter and to promote the health, safety</w:t>
      </w:r>
      <w:r w:rsidRPr="001A540E">
        <w:rPr>
          <w:rFonts w:eastAsia="Times New Roman" w:cs="Times New Roman"/>
          <w:szCs w:val="20"/>
          <w:u w:val="single"/>
          <w:lang w:eastAsia="zh-CN"/>
        </w:rPr>
        <w:t>,</w:t>
      </w:r>
      <w:r w:rsidRPr="001A540E">
        <w:rPr>
          <w:rFonts w:eastAsia="Times New Roman" w:cs="Times New Roman"/>
          <w:szCs w:val="20"/>
          <w:lang w:eastAsia="zh-CN"/>
        </w:rPr>
        <w:t xml:space="preserve"> and [well being] </w:t>
      </w:r>
      <w:r w:rsidRPr="001A540E">
        <w:rPr>
          <w:rFonts w:eastAsia="Times New Roman" w:cs="Times New Roman"/>
          <w:szCs w:val="20"/>
          <w:u w:val="single"/>
          <w:lang w:eastAsia="zh-CN"/>
        </w:rPr>
        <w:t>well-being</w:t>
      </w:r>
      <w:r w:rsidRPr="001A540E">
        <w:rPr>
          <w:rFonts w:eastAsia="Times New Roman" w:cs="Times New Roman"/>
          <w:szCs w:val="20"/>
          <w:lang w:eastAsia="zh-CN"/>
        </w:rPr>
        <w:t xml:space="preserve"> of the horses [which] </w:t>
      </w:r>
      <w:r w:rsidRPr="001A540E">
        <w:rPr>
          <w:rFonts w:eastAsia="Times New Roman" w:cs="Times New Roman"/>
          <w:szCs w:val="20"/>
          <w:u w:val="single"/>
          <w:lang w:eastAsia="zh-CN"/>
        </w:rPr>
        <w:t>that</w:t>
      </w:r>
      <w:r w:rsidRPr="001A540E">
        <w:rPr>
          <w:rFonts w:eastAsia="Times New Roman" w:cs="Times New Roman"/>
          <w:szCs w:val="20"/>
          <w:lang w:eastAsia="zh-CN"/>
        </w:rPr>
        <w:t xml:space="preserve"> are required to be licensed hereunder and of members of the public who hire such horses. </w:t>
      </w:r>
    </w:p>
    <w:p w14:paraId="4566F19C"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lastRenderedPageBreak/>
        <w:t xml:space="preserve">b. [1.] Horses shall not be left untethered or unattended except when confined in a stable or other enclosure. When tethered, all horses shall be secured by the use of a rope attached to the halter, not to the bit or bridle. </w:t>
      </w:r>
    </w:p>
    <w:p w14:paraId="194FB53B"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 [2. Horse bridles and halters shall be used on carriage horses at all times when operating a carriage.] </w:t>
      </w:r>
    </w:p>
    <w:p w14:paraId="21E85DD2"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c. [Standing stalls for carriage horses shall be sixty square feet or larger, with a minimum width of seven feet, and shall be configured to permit a carriage horse to turn around and safely lay down within the stall.] Horses shall be un-tied when stabled. A halter shall be on the horse or hung outside each stall at all times. </w:t>
      </w:r>
    </w:p>
    <w:p w14:paraId="6A63FC68"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d. Horses shall be adequately quartered. Stables and stalls shall be clean and dry and sufficient bedding of straw, shavings</w:t>
      </w:r>
      <w:r w:rsidRPr="001A540E">
        <w:rPr>
          <w:rFonts w:eastAsia="Times New Roman" w:cs="Times New Roman"/>
          <w:szCs w:val="20"/>
          <w:u w:val="single"/>
          <w:lang w:eastAsia="zh-CN"/>
        </w:rPr>
        <w:t>,</w:t>
      </w:r>
      <w:r w:rsidRPr="001A540E">
        <w:rPr>
          <w:rFonts w:eastAsia="Times New Roman" w:cs="Times New Roman"/>
          <w:szCs w:val="20"/>
          <w:lang w:eastAsia="zh-CN"/>
        </w:rPr>
        <w:t xml:space="preserve"> or other suitable materials shall be furnished and changed as often as necessary to maintain them in a clean and dry condition. Adequate heating and ventilation shall be maintained in stables as prescribed by the commissioner. </w:t>
      </w:r>
    </w:p>
    <w:p w14:paraId="18D707B0"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e. Owners shall insure that appropriate and sufficient food and drinking water are available for each horse and that while working each horse is permitted to eat and drink at reasonable intervals. </w:t>
      </w:r>
    </w:p>
    <w:p w14:paraId="0C4E9F9E"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f. </w:t>
      </w:r>
      <w:bookmarkStart w:id="1" w:name="_Hlk86911769"/>
      <w:r w:rsidRPr="001A540E">
        <w:rPr>
          <w:rFonts w:eastAsia="Times New Roman" w:cs="Times New Roman"/>
          <w:szCs w:val="20"/>
          <w:lang w:eastAsia="zh-CN"/>
        </w:rPr>
        <w:t>Owners shall not allow a horse to be worked on a public highway, path</w:t>
      </w:r>
      <w:r w:rsidRPr="001A540E">
        <w:rPr>
          <w:rFonts w:eastAsia="Times New Roman" w:cs="Times New Roman"/>
          <w:szCs w:val="20"/>
          <w:u w:val="single"/>
          <w:lang w:eastAsia="zh-CN"/>
        </w:rPr>
        <w:t>,</w:t>
      </w:r>
      <w:r w:rsidRPr="001A540E">
        <w:rPr>
          <w:rFonts w:eastAsia="Times New Roman" w:cs="Times New Roman"/>
          <w:szCs w:val="20"/>
          <w:lang w:eastAsia="zh-CN"/>
        </w:rPr>
        <w:t xml:space="preserve"> or street during adverse weather or other dangerous conditions [which] </w:t>
      </w:r>
      <w:r w:rsidRPr="001A540E">
        <w:rPr>
          <w:rFonts w:eastAsia="Times New Roman" w:cs="Times New Roman"/>
          <w:szCs w:val="20"/>
          <w:u w:val="single"/>
          <w:lang w:eastAsia="zh-CN"/>
        </w:rPr>
        <w:t>that</w:t>
      </w:r>
      <w:r w:rsidRPr="001A540E">
        <w:rPr>
          <w:rFonts w:eastAsia="Times New Roman" w:cs="Times New Roman"/>
          <w:szCs w:val="20"/>
          <w:lang w:eastAsia="zh-CN"/>
        </w:rPr>
        <w:t xml:space="preserve"> are a threat to the health or safety of the horse. A horse being worked when such conditions develop shall be immediately returned to the stable by the most direct route</w:t>
      </w:r>
      <w:bookmarkEnd w:id="1"/>
      <w:r w:rsidRPr="001A540E">
        <w:rPr>
          <w:rFonts w:eastAsia="Times New Roman" w:cs="Times New Roman"/>
          <w:szCs w:val="20"/>
          <w:lang w:eastAsia="zh-CN"/>
        </w:rPr>
        <w:t xml:space="preserve">. </w:t>
      </w:r>
    </w:p>
    <w:p w14:paraId="3F4E181C"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g. [1. Carriage horses shall not be at work for more than nine hours in any continuous twenty-four hour period.] Riding horses shall not be at work for more than [eight] </w:t>
      </w:r>
      <w:r w:rsidRPr="001A540E">
        <w:rPr>
          <w:rFonts w:eastAsia="Times New Roman" w:cs="Times New Roman"/>
          <w:szCs w:val="20"/>
          <w:u w:val="single"/>
          <w:lang w:eastAsia="zh-CN"/>
        </w:rPr>
        <w:t>8</w:t>
      </w:r>
      <w:r w:rsidRPr="001A540E">
        <w:rPr>
          <w:rFonts w:eastAsia="Times New Roman" w:cs="Times New Roman"/>
          <w:szCs w:val="20"/>
          <w:lang w:eastAsia="zh-CN"/>
        </w:rPr>
        <w:t xml:space="preserve"> hours in any continuous [twenty-four hour] </w:t>
      </w:r>
      <w:r w:rsidRPr="001A540E">
        <w:rPr>
          <w:rFonts w:eastAsia="Times New Roman" w:cs="Times New Roman"/>
          <w:szCs w:val="20"/>
          <w:u w:val="single"/>
          <w:lang w:eastAsia="zh-CN"/>
        </w:rPr>
        <w:t>24-hour</w:t>
      </w:r>
      <w:r w:rsidRPr="001A540E">
        <w:rPr>
          <w:rFonts w:eastAsia="Times New Roman" w:cs="Times New Roman"/>
          <w:szCs w:val="20"/>
          <w:lang w:eastAsia="zh-CN"/>
        </w:rPr>
        <w:t xml:space="preserve"> period. Rest periods for </w:t>
      </w:r>
      <w:r w:rsidRPr="001A540E">
        <w:rPr>
          <w:rFonts w:eastAsia="Times New Roman" w:cs="Times New Roman"/>
          <w:szCs w:val="20"/>
          <w:lang w:eastAsia="zh-CN"/>
        </w:rPr>
        <w:lastRenderedPageBreak/>
        <w:t xml:space="preserve">[carriage horses and] riding horses shall be of such duration and at such intervals as the commissioner shall prescribe[, but rest periods for carriage horses shall in no event be for less than fifteen minutes after each two hour working period, and the time of such rest period shall be included in calculating the number of hours the horse has worked in any twenty-four hour period. During such rest periods, the person in charge of such carriage horses shall make fresh water available to the horse. </w:t>
      </w:r>
    </w:p>
    <w:p w14:paraId="31FFCE5A"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2. Carriage horses shall receive no less than five weeks of vacation or furlough every twelve months at a horse stable facility which allows daily access to paddock or pasture turnout. Proof of such vacation or furlough shall be provided upon request to the department and/or the ASPCA.] </w:t>
      </w:r>
    </w:p>
    <w:p w14:paraId="3D9C26EA"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h. [Carriage horses shall not be driven at a pace faster than a trot.] Riding horses may be ridden at a canter but shall not be galloped. </w:t>
      </w:r>
    </w:p>
    <w:p w14:paraId="2A8DBF24"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i. Horses shall be suitably trimmed or shod, and saddles, bridles, bits, road harnesses</w:t>
      </w:r>
      <w:r w:rsidRPr="001A540E">
        <w:rPr>
          <w:rFonts w:eastAsia="Times New Roman" w:cs="Times New Roman"/>
          <w:szCs w:val="20"/>
          <w:u w:val="single"/>
          <w:lang w:eastAsia="zh-CN"/>
        </w:rPr>
        <w:t>,</w:t>
      </w:r>
      <w:r w:rsidRPr="001A540E">
        <w:rPr>
          <w:rFonts w:eastAsia="Times New Roman" w:cs="Times New Roman"/>
          <w:szCs w:val="20"/>
          <w:lang w:eastAsia="zh-CN"/>
        </w:rPr>
        <w:t xml:space="preserve"> and any other equipment used on or with a horse at work shall be maintained and properly fitted as prescribed by regulation of the commissioner. </w:t>
      </w:r>
    </w:p>
    <w:p w14:paraId="1AEAA3A5"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j. Stables in which horses used in a rental horse business are kept shall be open for inspection by authorized officers, veterinarians</w:t>
      </w:r>
      <w:r w:rsidRPr="001A540E">
        <w:rPr>
          <w:rFonts w:eastAsia="Times New Roman" w:cs="Times New Roman"/>
          <w:szCs w:val="20"/>
          <w:u w:val="single"/>
          <w:lang w:eastAsia="zh-CN"/>
        </w:rPr>
        <w:t>,</w:t>
      </w:r>
      <w:r w:rsidRPr="001A540E">
        <w:rPr>
          <w:rFonts w:eastAsia="Times New Roman" w:cs="Times New Roman"/>
          <w:szCs w:val="20"/>
          <w:lang w:eastAsia="zh-CN"/>
        </w:rPr>
        <w:t xml:space="preserve"> and employees of the department, and any persons designated by the commissioner to enforce the provisions of this subchapter, agents of the ASPCA, police officers, and employees of the department of consumer and worker protection. </w:t>
      </w:r>
    </w:p>
    <w:p w14:paraId="3694A312"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k. An owner shall be jointly liable with the person to whom a horse is rented for any violation of this subchapter or of any regulations promulgated hereunder committed by such person if the owner had knowledge or notice of the act which gave rise to the </w:t>
      </w:r>
      <w:r w:rsidRPr="001A540E">
        <w:rPr>
          <w:rFonts w:eastAsia="Times New Roman" w:cs="Times New Roman"/>
          <w:szCs w:val="20"/>
          <w:lang w:eastAsia="zh-CN"/>
        </w:rPr>
        <w:lastRenderedPageBreak/>
        <w:t xml:space="preserve">violation at the time of or prior to its occurrence or under the circumstances should have had knowledge or notice of such act and did not attempt to prevent it from occurring. </w:t>
      </w:r>
    </w:p>
    <w:p w14:paraId="7F40B0DE"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l. An owner of a rental horse business shall keep such records as the commissioner [of health] shall prescribe including but not limited to a consecutive daily record of the movements of each licensed horse including the driver's name and identification number, if applicable, rider's name, the horse's identification number, vehicle license plate number, if applicable, time of leaving stable and time of return to stable. An owner of a rental horse business shall also keep written protocols for emergencies, </w:t>
      </w:r>
      <w:proofErr w:type="gramStart"/>
      <w:r w:rsidRPr="001A540E">
        <w:rPr>
          <w:rFonts w:eastAsia="Times New Roman" w:cs="Times New Roman"/>
          <w:szCs w:val="20"/>
          <w:lang w:eastAsia="zh-CN"/>
        </w:rPr>
        <w:t>including but not limited to</w:t>
      </w:r>
      <w:proofErr w:type="gramEnd"/>
      <w:r w:rsidRPr="001A540E">
        <w:rPr>
          <w:rFonts w:eastAsia="Times New Roman" w:cs="Times New Roman"/>
          <w:szCs w:val="20"/>
          <w:lang w:eastAsia="zh-CN"/>
        </w:rPr>
        <w:t xml:space="preserve"> primary and secondary emergency contact information for each horse owner and insurance company information, if applicable. Such records shall be kept on the premises of the stable where the horses are kept and shall be available for inspection. The commissioner may[, in his or her discretion,] require a time clock, date stamp</w:t>
      </w:r>
      <w:r w:rsidRPr="001A540E">
        <w:rPr>
          <w:rFonts w:eastAsia="Times New Roman" w:cs="Times New Roman"/>
          <w:szCs w:val="20"/>
          <w:u w:val="single"/>
          <w:lang w:eastAsia="zh-CN"/>
        </w:rPr>
        <w:t>,</w:t>
      </w:r>
      <w:r w:rsidRPr="001A540E">
        <w:rPr>
          <w:rFonts w:eastAsia="Times New Roman" w:cs="Times New Roman"/>
          <w:szCs w:val="20"/>
          <w:lang w:eastAsia="zh-CN"/>
        </w:rPr>
        <w:t xml:space="preserve"> or time stamp where [such commissioner believes it is] appropriate. </w:t>
      </w:r>
    </w:p>
    <w:p w14:paraId="6FCE31DA"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m. A horse required to be licensed pursuant to this subchapter which is lame or suffers from a physical condition or illness making it unsuitable for work may be ordered to be removed from work by the commissioner or [his or her] </w:t>
      </w:r>
      <w:r w:rsidRPr="001A540E">
        <w:rPr>
          <w:rFonts w:eastAsia="Times New Roman" w:cs="Times New Roman"/>
          <w:szCs w:val="20"/>
          <w:u w:val="single"/>
          <w:lang w:eastAsia="zh-CN"/>
        </w:rPr>
        <w:t>their</w:t>
      </w:r>
      <w:r w:rsidRPr="001A540E">
        <w:rPr>
          <w:rFonts w:eastAsia="Times New Roman" w:cs="Times New Roman"/>
          <w:szCs w:val="20"/>
          <w:lang w:eastAsia="zh-CN"/>
        </w:rPr>
        <w:t xml:space="preserve"> designee or by an agent of the ASPCA or a veterinarian employed or retained by [such] </w:t>
      </w:r>
      <w:r w:rsidRPr="001A540E">
        <w:rPr>
          <w:rFonts w:eastAsia="Times New Roman" w:cs="Times New Roman"/>
          <w:szCs w:val="20"/>
          <w:u w:val="single"/>
          <w:lang w:eastAsia="zh-CN"/>
        </w:rPr>
        <w:t>the</w:t>
      </w:r>
      <w:r w:rsidRPr="001A540E">
        <w:rPr>
          <w:rFonts w:eastAsia="Times New Roman" w:cs="Times New Roman"/>
          <w:szCs w:val="20"/>
          <w:lang w:eastAsia="zh-CN"/>
        </w:rPr>
        <w:t xml:space="preserve"> commissioner or ASPCA to inspect licensed horses. A horse for which such an order has been issued shall not be returned to work until it has recovered from the condition which caused the issuance of the order or until such condition has improved sufficiently that its return to work will not aggravate the condition or otherwise endanger the health of the horse. In any proceeding, under this section it shall be presumed that a horse which is found at work within [forty-eight] </w:t>
      </w:r>
      <w:r w:rsidRPr="001A540E">
        <w:rPr>
          <w:rFonts w:eastAsia="Times New Roman" w:cs="Times New Roman"/>
          <w:szCs w:val="20"/>
          <w:u w:val="single"/>
          <w:lang w:eastAsia="zh-CN"/>
        </w:rPr>
        <w:t>48</w:t>
      </w:r>
      <w:r w:rsidRPr="001A540E">
        <w:rPr>
          <w:rFonts w:eastAsia="Times New Roman" w:cs="Times New Roman"/>
          <w:szCs w:val="20"/>
          <w:lang w:eastAsia="zh-CN"/>
        </w:rPr>
        <w:t xml:space="preserve"> hours after the issuance of an order of removal and which is disabled </w:t>
      </w:r>
      <w:r w:rsidRPr="001A540E">
        <w:rPr>
          <w:rFonts w:eastAsia="Times New Roman" w:cs="Times New Roman"/>
          <w:szCs w:val="20"/>
          <w:lang w:eastAsia="zh-CN"/>
        </w:rPr>
        <w:lastRenderedPageBreak/>
        <w:t xml:space="preserve">by the same condition which caused such order to be issued has been returned to work in violation of this section. Such presumption may be rebutted by offering a certificate of a veterinarian indicating suitability to return to work prior to the expiration of the [forty-eight hour] </w:t>
      </w:r>
      <w:r w:rsidRPr="001A540E">
        <w:rPr>
          <w:rFonts w:eastAsia="Times New Roman" w:cs="Times New Roman"/>
          <w:szCs w:val="20"/>
          <w:u w:val="single"/>
          <w:lang w:eastAsia="zh-CN"/>
        </w:rPr>
        <w:t>48-hour</w:t>
      </w:r>
      <w:r w:rsidRPr="001A540E">
        <w:rPr>
          <w:rFonts w:eastAsia="Times New Roman" w:cs="Times New Roman"/>
          <w:szCs w:val="20"/>
          <w:lang w:eastAsia="zh-CN"/>
        </w:rPr>
        <w:t xml:space="preserve"> period. </w:t>
      </w:r>
    </w:p>
    <w:p w14:paraId="545B661D"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n. Every horse required to be licensed hereunder shall be examined by a veterinarian prior to its use in a rental horse business, at time of each license renewal, and thereafter at intervals of not less than [four] </w:t>
      </w:r>
      <w:r w:rsidRPr="001A540E">
        <w:rPr>
          <w:rFonts w:eastAsia="Times New Roman" w:cs="Times New Roman"/>
          <w:szCs w:val="20"/>
          <w:u w:val="single"/>
          <w:lang w:eastAsia="zh-CN"/>
        </w:rPr>
        <w:t>4</w:t>
      </w:r>
      <w:r w:rsidRPr="001A540E">
        <w:rPr>
          <w:rFonts w:eastAsia="Times New Roman" w:cs="Times New Roman"/>
          <w:szCs w:val="20"/>
          <w:lang w:eastAsia="zh-CN"/>
        </w:rPr>
        <w:t xml:space="preserve"> months and not greater than [eight] </w:t>
      </w:r>
      <w:r w:rsidRPr="001A540E">
        <w:rPr>
          <w:rFonts w:eastAsia="Times New Roman" w:cs="Times New Roman"/>
          <w:szCs w:val="20"/>
          <w:u w:val="single"/>
          <w:lang w:eastAsia="zh-CN"/>
        </w:rPr>
        <w:t>8</w:t>
      </w:r>
      <w:r w:rsidRPr="001A540E">
        <w:rPr>
          <w:rFonts w:eastAsia="Times New Roman" w:cs="Times New Roman"/>
          <w:szCs w:val="20"/>
          <w:lang w:eastAsia="zh-CN"/>
        </w:rPr>
        <w:t xml:space="preserve"> months. The examination shall include the general physical condition of the horse, its teeth, hoofs and shoes, its stamina and physical ability to perform the work or duties required of it, and whether it is current on vaccinations, including those for rabies, Eastern/Western equine encephalitis, West Nile virus, Rhinopneumonitis virus, and tetanus, or any other vaccinations the [Commissioner] </w:t>
      </w:r>
      <w:r w:rsidRPr="001A540E">
        <w:rPr>
          <w:rFonts w:eastAsia="Times New Roman" w:cs="Times New Roman"/>
          <w:szCs w:val="20"/>
          <w:u w:val="single"/>
          <w:lang w:eastAsia="zh-CN"/>
        </w:rPr>
        <w:t>commissioner</w:t>
      </w:r>
      <w:r w:rsidRPr="001A540E">
        <w:rPr>
          <w:rFonts w:eastAsia="Times New Roman" w:cs="Times New Roman"/>
          <w:szCs w:val="20"/>
          <w:lang w:eastAsia="zh-CN"/>
        </w:rPr>
        <w:t xml:space="preserve"> may require by rule. The examination shall also include a record of any injury, disease, or deficiency observed by the veterinarian at the time, together with any prescription or humane correction or disposition of the same. A signed health certificate by the examining veterinarian shall be maintained at the stable premises at which such horse is located and shall be displayed on the outside of [the] such horse's individual stall. An original of said certificate shall be mailed by the examining veterinarian to the department. </w:t>
      </w:r>
    </w:p>
    <w:p w14:paraId="5169525B"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    [o. 1. Carriage horses shall not be worked whenever the air temperature is 18 degrees fahrenheit or below. </w:t>
      </w:r>
    </w:p>
    <w:p w14:paraId="50895582"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    2. Carriage horses shall not be worked whenever (i) the air temperature is 90 degrees Fahrenheit or above, or (ii) the air temperature is 80 degrees Fahrenheit or above and the equine heat index is 150 or above. </w:t>
      </w:r>
    </w:p>
    <w:p w14:paraId="3FA23E02"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lastRenderedPageBreak/>
        <w:t xml:space="preserve">    3. For purposes of this subdivision, air temperatures shall be those measured by a state-of-the-art thermometer, as determined by the commissioner. Relative humidity shall be determined by a state-of-the-art hygrometer or any other device having the same capability to measure relative humidity, as determined by the commissioner. Air temperatures and relative humidity shall be measured by the commissioner or the commissioner's designee at street level at one of the stands designated pursuant to section 19-174. </w:t>
      </w:r>
    </w:p>
    <w:p w14:paraId="4E31AE23"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    4. If either of the limits set by paragraph 2 of this subdivision are exceeded during the course of a particular ride, at the ride's conclusion, but no later than one-half hour after either of these limits are exceeded, the operator must immediately cease working, move the horse to an area of shelter, where available, rest the horse and then walk it directly to its stable. All horses so returned to their stable must be unbridled and unharnessed and remain at the stable for at least one hour, and thereafter, until such time as the weather conditions shall once again reach acceptable limits. </w:t>
      </w:r>
    </w:p>
    <w:p w14:paraId="62F265A1"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5. No violation of this subdivision shall occur unless a written warning of violation is first issued by the authorized enforcement personnel to the operator advising that either of the limits set in paragraph 2 of this subdivision have been exceeded and directing that the operator cease working a carriage horse in accordance with the provisions of this subdivision. A violation of this subdivision may be issued if an operator fails to comply with the direction contained in the written warning of violation. Failure to comply with such direction shall not be construed as a separate violation.</w:t>
      </w:r>
    </w:p>
    <w:p w14:paraId="0831C76E"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lastRenderedPageBreak/>
        <w:t>    p. Every carriage horse required to be licensed hereunder shall be equipped with a manure catching device. Such devices shall be affixed or attached to the carriage and shall at no time be affixed or attached to the horse.</w:t>
      </w:r>
    </w:p>
    <w:p w14:paraId="78BC76B0"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    q. Carriage horses shall not be younger than five years at the time placed into service in any rental horse business and licensed. No carriage horse older than 26 years of age shall be licensed to work in a rental horse business. Acceptable proof of age shall include a signed letter from a licensed veterinarian stating the horse's age, a certificate from an officially recognized national registry of horses stating the horse's age, or another industry approved method of certifying age. </w:t>
      </w:r>
    </w:p>
    <w:p w14:paraId="712232D3"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    r. Owners shall insure that during the months of November through April every carriage is equipped with a heavy winter horse blanket large enough to cover the horse from crest of neck to top of rump. Such blankets shall be used to cover carriage horses in cold weather. Waterproof horse blankets of a lighter material shall be provided at all times to cover the horse from withers to tail during periods of wet weather when the air temperature is 55 degrees or below.] </w:t>
      </w:r>
    </w:p>
    <w:p w14:paraId="4804B047"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5. Paragraph 1 of subdivision a of section 17-331 of the administrative code of the city of New York is amended to read as follows:</w:t>
      </w:r>
    </w:p>
    <w:p w14:paraId="76EB75B9"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1. Two members shall be appointed from among the owners of rental horse businesses operating within the city[, one of whom] </w:t>
      </w:r>
      <w:r w:rsidRPr="001A540E">
        <w:rPr>
          <w:rFonts w:eastAsia="Times New Roman" w:cs="Times New Roman"/>
          <w:szCs w:val="20"/>
          <w:u w:val="single"/>
          <w:lang w:eastAsia="zh-CN"/>
        </w:rPr>
        <w:t>who</w:t>
      </w:r>
      <w:r w:rsidRPr="001A540E">
        <w:rPr>
          <w:rFonts w:eastAsia="Times New Roman" w:cs="Times New Roman"/>
          <w:szCs w:val="20"/>
          <w:lang w:eastAsia="zh-CN"/>
        </w:rPr>
        <w:t xml:space="preserve"> shall be representative of the interests of owners of riding horses [and one of whom shall be representative of the interests of owners of carriage horses].</w:t>
      </w:r>
    </w:p>
    <w:p w14:paraId="4210238E"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lastRenderedPageBreak/>
        <w:t>§ 6. Section 17-334 of the administrative code of the city of New York, subdivision a of such section as amended by local law number 80 for the year 2020, is amended to read as follows:</w:t>
      </w:r>
    </w:p>
    <w:p w14:paraId="0030E76A" w14:textId="77777777" w:rsidR="001A540E" w:rsidRPr="001A540E" w:rsidRDefault="001A540E" w:rsidP="001A540E">
      <w:pPr>
        <w:suppressAutoHyphens/>
        <w:spacing w:after="0" w:line="480" w:lineRule="auto"/>
        <w:ind w:firstLine="720"/>
        <w:jc w:val="both"/>
        <w:rPr>
          <w:rFonts w:eastAsia="Times New Roman" w:cs="Times New Roman"/>
          <w:szCs w:val="20"/>
          <w:u w:val="single"/>
          <w:lang w:eastAsia="zh-CN"/>
        </w:rPr>
      </w:pPr>
      <w:r w:rsidRPr="001A540E">
        <w:rPr>
          <w:rFonts w:eastAsia="Times New Roman" w:cs="Times New Roman"/>
          <w:szCs w:val="20"/>
          <w:lang w:eastAsia="zh-CN"/>
        </w:rPr>
        <w:t>§ 17-334 Construction. a. [The provisions of this subchapter shall not be construed to supersede or affect any of the provisions of subchapter twenty-one of chapter two of title twenty of the code relating to a "horse drawn cab" as defined therein or any of the regulations of the commissioner of consumer and worker protection promulgated thereunder.</w:t>
      </w:r>
    </w:p>
    <w:p w14:paraId="6F2A8567"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 b.] The provisions of this subchapter shall not be construed to permit the possession or use of a horse in any area where such possession or use is prohibited by any other law, rule</w:t>
      </w:r>
      <w:r w:rsidRPr="001A540E">
        <w:rPr>
          <w:rFonts w:eastAsia="Times New Roman" w:cs="Times New Roman"/>
          <w:szCs w:val="20"/>
          <w:u w:val="single"/>
          <w:lang w:eastAsia="zh-CN"/>
        </w:rPr>
        <w:t>,</w:t>
      </w:r>
      <w:r w:rsidRPr="001A540E">
        <w:rPr>
          <w:rFonts w:eastAsia="Times New Roman" w:cs="Times New Roman"/>
          <w:szCs w:val="20"/>
          <w:lang w:eastAsia="zh-CN"/>
        </w:rPr>
        <w:t xml:space="preserve"> or regulation.</w:t>
      </w:r>
    </w:p>
    <w:p w14:paraId="4D4CAD97"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 [c.] </w:t>
      </w:r>
      <w:r w:rsidRPr="001A540E">
        <w:rPr>
          <w:rFonts w:eastAsia="Times New Roman" w:cs="Times New Roman"/>
          <w:szCs w:val="20"/>
          <w:u w:val="single"/>
          <w:lang w:eastAsia="zh-CN"/>
        </w:rPr>
        <w:t>b.</w:t>
      </w:r>
      <w:r w:rsidRPr="001A540E">
        <w:rPr>
          <w:rFonts w:eastAsia="Times New Roman" w:cs="Times New Roman"/>
          <w:szCs w:val="20"/>
          <w:lang w:eastAsia="zh-CN"/>
        </w:rPr>
        <w:t xml:space="preserve"> The provisions of this subchapter shall not be construed to prohibit the ASPCA or the department from enforcing any provision of law, rule</w:t>
      </w:r>
      <w:r w:rsidRPr="001A540E">
        <w:rPr>
          <w:rFonts w:eastAsia="Times New Roman" w:cs="Times New Roman"/>
          <w:szCs w:val="20"/>
          <w:u w:val="single"/>
          <w:lang w:eastAsia="zh-CN"/>
        </w:rPr>
        <w:t>,</w:t>
      </w:r>
      <w:r w:rsidRPr="001A540E">
        <w:rPr>
          <w:rFonts w:eastAsia="Times New Roman" w:cs="Times New Roman"/>
          <w:szCs w:val="20"/>
          <w:lang w:eastAsia="zh-CN"/>
        </w:rPr>
        <w:t xml:space="preserve"> or regulation relating to the humane treatment of animals with respect to any horse regardless of whether such horse is required to be licensed pursuant to the provisions of this subchapter. </w:t>
      </w:r>
    </w:p>
    <w:p w14:paraId="11AC54BF"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7. Section 17-334.1 of the administrative code of the city of New York is REPEALED.</w:t>
      </w:r>
    </w:p>
    <w:p w14:paraId="1B3BE387"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t xml:space="preserve">§ 8. Section 19-174 of the administrative code of the city of New York is REPEALED. </w:t>
      </w:r>
    </w:p>
    <w:p w14:paraId="63947819"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 9. Section 20-371 of the administrative code of the city of New York, as amended by local law number 31 for the year 1995, is amended to read as follows:  </w:t>
      </w:r>
    </w:p>
    <w:p w14:paraId="51D050EA"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 20-371 Licensing of sight-seeing buses[, horse drawn cabs and horse drawn cab drivers]. Legislative findings. The legislative findings heretofore made in relation to the </w:t>
      </w:r>
      <w:r w:rsidRPr="001A540E">
        <w:rPr>
          <w:rFonts w:eastAsia="Times New Roman" w:cs="Times New Roman"/>
          <w:szCs w:val="24"/>
          <w:lang w:eastAsia="zh-CN"/>
        </w:rPr>
        <w:lastRenderedPageBreak/>
        <w:t xml:space="preserve">business of sight-seeing buses [and horse drawn cabs] in the city of New York and set forth in local law number [ten] </w:t>
      </w:r>
      <w:r w:rsidRPr="001A540E">
        <w:rPr>
          <w:rFonts w:eastAsia="Times New Roman" w:cs="Times New Roman"/>
          <w:szCs w:val="24"/>
          <w:u w:val="single"/>
          <w:lang w:eastAsia="zh-CN"/>
        </w:rPr>
        <w:t>10</w:t>
      </w:r>
      <w:r w:rsidRPr="001A540E">
        <w:rPr>
          <w:rFonts w:eastAsia="Times New Roman" w:cs="Times New Roman"/>
          <w:szCs w:val="24"/>
          <w:lang w:eastAsia="zh-CN"/>
        </w:rPr>
        <w:t xml:space="preserve"> of [nineteen hundred sixty-four] </w:t>
      </w:r>
      <w:r w:rsidRPr="001A540E">
        <w:rPr>
          <w:rFonts w:eastAsia="Times New Roman" w:cs="Times New Roman"/>
          <w:szCs w:val="24"/>
          <w:u w:val="single"/>
          <w:lang w:eastAsia="zh-CN"/>
        </w:rPr>
        <w:t>1964</w:t>
      </w:r>
      <w:r w:rsidRPr="001A540E">
        <w:rPr>
          <w:rFonts w:eastAsia="Times New Roman" w:cs="Times New Roman"/>
          <w:szCs w:val="24"/>
          <w:lang w:eastAsia="zh-CN"/>
        </w:rPr>
        <w:t xml:space="preserve"> continue to be valid; such businesses are vested with a public interest and their regulation and control continue to be necessary and essential in order to cope with certain evils and hazards which existed in the absence of governmental supervision. The supervision formerly was reposed in the police commissioner, but recent experience and study indicate that jurisdiction over such businesses should be transferred to the commissioner. [It is further found that the present number of horse drawn cabs licensed in the city of New York is adequate to meet the public need and demand and should be preserved, unless the commissioner finds that additional licenses are necessary and advisable.] </w:t>
      </w:r>
    </w:p>
    <w:p w14:paraId="3FBD082F"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10. Section 20-372 of the administrative code of the city of New York, as amended by local law number 31 for the year 1995, subdivisions 9 and 10 of such section as added by local law number 3 for the year 2001, and subdivision 11 of such section as added by local law number 176 for the year 2018, is amended to read as follows:</w:t>
      </w:r>
    </w:p>
    <w:p w14:paraId="51EFD17C"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 20-372 Definitions</w:t>
      </w:r>
      <w:r w:rsidRPr="001A540E">
        <w:rPr>
          <w:rFonts w:eastAsia="Times New Roman" w:cs="Times New Roman"/>
          <w:b/>
          <w:bCs/>
          <w:color w:val="000000"/>
          <w:szCs w:val="24"/>
          <w:lang w:eastAsia="zh-CN"/>
        </w:rPr>
        <w:t xml:space="preserve">. </w:t>
      </w:r>
      <w:r w:rsidRPr="001A540E">
        <w:rPr>
          <w:rFonts w:eastAsia="Times New Roman" w:cs="Times New Roman"/>
          <w:color w:val="000000"/>
          <w:szCs w:val="24"/>
          <w:lang w:eastAsia="zh-CN"/>
        </w:rPr>
        <w:t xml:space="preserve">Whenever used in this subchapter, the following terms [shall mean] </w:t>
      </w:r>
      <w:r w:rsidRPr="001A540E">
        <w:rPr>
          <w:rFonts w:eastAsia="Times New Roman" w:cs="Times New Roman"/>
          <w:color w:val="000000"/>
          <w:szCs w:val="24"/>
          <w:u w:val="single"/>
          <w:lang w:eastAsia="zh-CN"/>
        </w:rPr>
        <w:t>have the following meanings</w:t>
      </w:r>
      <w:r w:rsidRPr="001A540E">
        <w:rPr>
          <w:rFonts w:eastAsia="Times New Roman" w:cs="Times New Roman"/>
          <w:color w:val="000000"/>
          <w:szCs w:val="24"/>
          <w:lang w:eastAsia="zh-CN"/>
        </w:rPr>
        <w:t xml:space="preserve">: </w:t>
      </w:r>
    </w:p>
    <w:p w14:paraId="784456CA" w14:textId="77777777" w:rsidR="001A540E" w:rsidRPr="001A540E" w:rsidRDefault="001A540E" w:rsidP="001A540E">
      <w:pPr>
        <w:spacing w:after="0" w:line="480" w:lineRule="auto"/>
        <w:jc w:val="both"/>
        <w:rPr>
          <w:rFonts w:eastAsia="Times New Roman" w:cs="Times New Roman"/>
          <w:color w:val="000000"/>
          <w:szCs w:val="24"/>
          <w:u w:val="single"/>
          <w:lang w:eastAsia="zh-CN"/>
        </w:rPr>
      </w:pPr>
      <w:r w:rsidRPr="001A540E">
        <w:rPr>
          <w:rFonts w:eastAsia="Times New Roman" w:cs="Times New Roman"/>
          <w:color w:val="000000"/>
          <w:szCs w:val="24"/>
          <w:lang w:eastAsia="zh-CN"/>
        </w:rPr>
        <w:t xml:space="preserve">    </w:t>
      </w:r>
      <w:r w:rsidRPr="001A540E">
        <w:rPr>
          <w:rFonts w:eastAsia="Times New Roman" w:cs="Times New Roman"/>
          <w:color w:val="000000"/>
          <w:szCs w:val="24"/>
          <w:lang w:eastAsia="zh-CN"/>
        </w:rPr>
        <w:tab/>
      </w:r>
      <w:r w:rsidRPr="001A540E">
        <w:rPr>
          <w:rFonts w:eastAsia="Times New Roman" w:cs="Times New Roman"/>
          <w:color w:val="000000"/>
          <w:szCs w:val="24"/>
          <w:u w:val="single"/>
          <w:lang w:eastAsia="zh-CN"/>
        </w:rPr>
        <w:t>"Certificate of conformity" shall mean that document issued by the Administrator of the United States environmental protection agency pursuant to subsection (a) of section 206 of the Clean Air Act, subsection (a) of section 7525 of title 42 of the United States code, reflecting such Administrator's determination that an engine conforms to emissions standards and other regulations issued under section 202 of the Clean Air Act, section 7521 of title 42 of the United States code, as well as the terms and the time periods prescribed thereon, and as such laws and such regulations may be amended from time to time.</w:t>
      </w:r>
    </w:p>
    <w:p w14:paraId="70C26DEE" w14:textId="77777777" w:rsidR="001A540E" w:rsidRPr="001A540E" w:rsidRDefault="001A540E" w:rsidP="001A540E">
      <w:pPr>
        <w:spacing w:after="0" w:line="480" w:lineRule="auto"/>
        <w:ind w:firstLine="720"/>
        <w:jc w:val="both"/>
        <w:rPr>
          <w:rFonts w:eastAsia="Times New Roman" w:cs="Times New Roman"/>
          <w:color w:val="000000"/>
          <w:szCs w:val="24"/>
          <w:u w:val="single"/>
          <w:lang w:eastAsia="zh-CN"/>
        </w:rPr>
      </w:pPr>
      <w:r w:rsidRPr="001A540E">
        <w:rPr>
          <w:rFonts w:eastAsia="Times New Roman" w:cs="Times New Roman"/>
          <w:color w:val="000000"/>
          <w:szCs w:val="24"/>
          <w:u w:val="single"/>
          <w:lang w:eastAsia="zh-CN"/>
        </w:rPr>
        <w:lastRenderedPageBreak/>
        <w:t>"Fleet" shall mean a group of vehicles owned or operated by the same person.</w:t>
      </w:r>
    </w:p>
    <w:p w14:paraId="6E0028B0"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u w:val="single"/>
          <w:lang w:eastAsia="zh-CN"/>
        </w:rPr>
        <w:t>"Inspection card" shall designate the card issued by the commissioner for the sight-seeing bus licensed, which card shall display the license number and capacity of such vehicle.</w:t>
      </w:r>
    </w:p>
    <w:p w14:paraId="1725D111"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[1.] "Owner" shall include any person, firm, partnership, corporation</w:t>
      </w:r>
      <w:r w:rsidRPr="001A540E">
        <w:rPr>
          <w:rFonts w:eastAsia="Times New Roman" w:cs="Times New Roman"/>
          <w:color w:val="000000"/>
          <w:szCs w:val="24"/>
          <w:u w:val="single"/>
          <w:lang w:eastAsia="zh-CN"/>
        </w:rPr>
        <w:t>,</w:t>
      </w:r>
      <w:r w:rsidRPr="001A540E">
        <w:rPr>
          <w:rFonts w:eastAsia="Times New Roman" w:cs="Times New Roman"/>
          <w:color w:val="000000"/>
          <w:szCs w:val="24"/>
          <w:lang w:eastAsia="zh-CN"/>
        </w:rPr>
        <w:t xml:space="preserve"> or association owning and operating a sight-seeing bus or buses, [or horse drawn cab or cabs] and shall include a purchaser under a reserve title contract, conditional sales agreement or vendor's agreement and the lessee of such vehicle or vehicles under a written lease or similar contract provided such purchaser or lessee of sight-seeing bus or buses shall be entitled to obtain in his or her name a license or licenses therefor from the commissioner of motor vehicles of the state of New York.</w:t>
      </w:r>
    </w:p>
    <w:p w14:paraId="20D226A9" w14:textId="77777777" w:rsidR="001A540E" w:rsidRPr="001A540E" w:rsidRDefault="001A540E" w:rsidP="001A540E">
      <w:pPr>
        <w:spacing w:after="0" w:line="480" w:lineRule="auto"/>
        <w:jc w:val="both"/>
        <w:rPr>
          <w:rFonts w:eastAsia="Times New Roman" w:cs="Times New Roman"/>
          <w:color w:val="000000"/>
          <w:szCs w:val="24"/>
          <w:lang w:eastAsia="zh-CN"/>
        </w:rPr>
      </w:pPr>
      <w:r w:rsidRPr="001A540E">
        <w:rPr>
          <w:rFonts w:eastAsia="Times New Roman" w:cs="Times New Roman"/>
          <w:color w:val="000000"/>
          <w:szCs w:val="24"/>
          <w:lang w:eastAsia="zh-CN"/>
        </w:rPr>
        <w:t xml:space="preserve"> </w:t>
      </w:r>
      <w:r w:rsidRPr="001A540E">
        <w:rPr>
          <w:rFonts w:eastAsia="Times New Roman" w:cs="Times New Roman"/>
          <w:color w:val="000000"/>
          <w:szCs w:val="24"/>
          <w:lang w:eastAsia="zh-CN"/>
        </w:rPr>
        <w:tab/>
        <w:t>[2. "Sight-seeing bus license" shall designate the license issued by the commissioner for each sight-seeing bus.</w:t>
      </w:r>
    </w:p>
    <w:p w14:paraId="3921DEB0"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3. "Inspection card" shall designate the card issued by the commissioner for the sight-seeing bus licensed or horse drawn cab licensed, which card shall display the license number and capacity of such vehicle.</w:t>
      </w:r>
    </w:p>
    <w:p w14:paraId="6368CFBD"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 xml:space="preserve">4.] "Sight-seeing bus" shall mean a motor vehicle designed to comfortably seat and carry eight or more passengers operating for hire from a fixed point in the city of New York to a place or places of interest or amusements, and shall also include a vehicle, designed as aforesaid which by oral or written contract is let and hired or otherwise engaged for its exclusive use for a specific or special trip or excursion from a starting point within the city of New York. </w:t>
      </w:r>
    </w:p>
    <w:p w14:paraId="46F682A4"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lastRenderedPageBreak/>
        <w:t xml:space="preserve">[5. "Horse drawn cab" shall mean a horse drawn vehicle operating for hire, so designed and constructed to comfortably seat not more than four adults, or two adults and four children, each of whom is under twelve years of age, or three adults and two children, each of whom is under twelve years of age, in the interior thereof.      </w:t>
      </w:r>
    </w:p>
    <w:p w14:paraId="79FEA684" w14:textId="77777777" w:rsidR="001A540E" w:rsidRPr="001A540E" w:rsidRDefault="001A540E" w:rsidP="001A540E">
      <w:pPr>
        <w:spacing w:after="0" w:line="480" w:lineRule="auto"/>
        <w:ind w:firstLine="720"/>
        <w:jc w:val="both"/>
        <w:rPr>
          <w:rFonts w:eastAsia="Times New Roman" w:cs="Times New Roman"/>
          <w:color w:val="000000"/>
          <w:szCs w:val="24"/>
          <w:u w:val="single"/>
          <w:lang w:eastAsia="zh-CN"/>
        </w:rPr>
      </w:pPr>
      <w:r w:rsidRPr="001A540E">
        <w:rPr>
          <w:rFonts w:eastAsia="Times New Roman" w:cs="Times New Roman"/>
          <w:color w:val="000000"/>
          <w:szCs w:val="24"/>
          <w:lang w:eastAsia="zh-CN"/>
        </w:rPr>
        <w:t>6. "Horse drawn cab driver" shall include any person licensed to drive a horse drawn cab in the city of New York.</w:t>
      </w:r>
    </w:p>
    <w:p w14:paraId="39470718"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7. "Horse drawn cab license" shall designate the license issued by the commissioner for each horse drawn cab.</w:t>
      </w:r>
    </w:p>
    <w:p w14:paraId="74E80858"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8. "Horse drawn cab driver's license” shall designate the license issued by the commissioner for a driver of a horse drawn cab.</w:t>
      </w:r>
    </w:p>
    <w:p w14:paraId="04951601"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9. "Certificate of conformity" shall mean that document issued by the Administrator of the United States environmental protection agency pursuant to section 206(a) of the Clean Air Act of 1990, 42 U.S.C. §7525(a), reflecting such Administrator's determination that an engine conforms to emissions standards and other regulations issued under section 202 of the Clean Air Act of 1990, 42 U.S.C. §7521, as well as the terms and the time periods prescribed thereon, and as such laws and such regulations may be amended from time to time.</w:t>
      </w:r>
    </w:p>
    <w:p w14:paraId="6679C58E"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10 "Fleet" shall mean a group of vehicles owned or operated by the same person.</w:t>
      </w:r>
    </w:p>
    <w:p w14:paraId="689CC455"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11.] "Sight-seeing bus driver" shall mean any natural person who operates a sight-seeing bus in the city of New York.</w:t>
      </w:r>
    </w:p>
    <w:p w14:paraId="6124D25C" w14:textId="77777777" w:rsidR="001A540E" w:rsidRPr="001A540E" w:rsidRDefault="001A540E" w:rsidP="001A540E">
      <w:pPr>
        <w:spacing w:after="0" w:line="480" w:lineRule="auto"/>
        <w:ind w:firstLine="720"/>
        <w:jc w:val="both"/>
        <w:rPr>
          <w:rFonts w:eastAsia="Times New Roman" w:cs="Times New Roman"/>
          <w:szCs w:val="24"/>
          <w:u w:val="single"/>
          <w:lang w:eastAsia="zh-CN"/>
        </w:rPr>
      </w:pPr>
      <w:r w:rsidRPr="001A540E">
        <w:rPr>
          <w:rFonts w:eastAsia="Times New Roman" w:cs="Times New Roman"/>
          <w:color w:val="000000"/>
          <w:szCs w:val="24"/>
          <w:u w:val="single"/>
          <w:lang w:eastAsia="zh-CN"/>
        </w:rPr>
        <w:t>"Sight-seeing bus license" shall designate the license issued by the commissioner for each sight-seeing bus.</w:t>
      </w:r>
    </w:p>
    <w:p w14:paraId="5CA6F953"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lastRenderedPageBreak/>
        <w:t xml:space="preserve">§ 11. Section 20-373 of the administrative code of the city of New York, subdivision d of such section as added by local law number 2 for the year 1994, is amended to read as follows: </w:t>
      </w:r>
    </w:p>
    <w:p w14:paraId="0CB7C032"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 20-373 License required; fee; term</w:t>
      </w:r>
      <w:r w:rsidRPr="001A540E">
        <w:rPr>
          <w:rFonts w:eastAsia="Times New Roman" w:cs="Times New Roman"/>
          <w:b/>
          <w:bCs/>
          <w:color w:val="000000"/>
          <w:szCs w:val="24"/>
          <w:lang w:eastAsia="zh-CN"/>
        </w:rPr>
        <w:t xml:space="preserve">. </w:t>
      </w:r>
      <w:r w:rsidRPr="001A540E">
        <w:rPr>
          <w:rFonts w:eastAsia="Times New Roman" w:cs="Times New Roman"/>
          <w:color w:val="000000"/>
          <w:szCs w:val="24"/>
          <w:lang w:eastAsia="zh-CN"/>
        </w:rPr>
        <w:t>a. It shall be unlawful to operate or permit another to operate for hire a sight-seeing bus [or horse-drawn cab] within the city unless the owner shall have first obtained a license therefor from the commissioner. [An applicant for a horse-drawn cab license shall be at least eighteen years of age.]</w:t>
      </w:r>
    </w:p>
    <w:p w14:paraId="0054E5E1"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 xml:space="preserve">b. Fees. The original and renewal license fee for each sight-seeing bus shall be [fifty dollars and for each horse-drawn cab shall be fifty dollars] </w:t>
      </w:r>
      <w:r w:rsidRPr="001A540E">
        <w:rPr>
          <w:rFonts w:eastAsia="Times New Roman" w:cs="Times New Roman"/>
          <w:color w:val="000000"/>
          <w:szCs w:val="24"/>
          <w:u w:val="single"/>
          <w:lang w:eastAsia="zh-CN"/>
        </w:rPr>
        <w:t>$50</w:t>
      </w:r>
      <w:r w:rsidRPr="001A540E">
        <w:rPr>
          <w:rFonts w:eastAsia="Times New Roman" w:cs="Times New Roman"/>
          <w:color w:val="000000"/>
          <w:szCs w:val="24"/>
          <w:lang w:eastAsia="zh-CN"/>
        </w:rPr>
        <w:t>.</w:t>
      </w:r>
    </w:p>
    <w:p w14:paraId="5403A68E"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[c. The commissioner shall not renew any horse-drawn cab license in the event that he or she shall determine that the horse-drawn cab has not been operated for at least four months during the preceding license year, provided that such failure to operate shall not have been caused by strike, riot, war or other public catastrophe. However, in the event that it is shown to the commissioner by competent proof that the licensee has been disabled through illness or has been unable to operate the horse-drawn cab because of other cause beyond his or her control, the commissioner may renew such license.</w:t>
      </w:r>
    </w:p>
    <w:p w14:paraId="2B1969CF"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 xml:space="preserve">d. The commissioner may refuse to renew any horse drawn cab license in the event that he or she determines that the holder of the horse drawn cab license has demonstrated a disregard for the provisions of this subchapter as illustrated by repeated violations of such provisions.] </w:t>
      </w:r>
    </w:p>
    <w:p w14:paraId="08FCF25C"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 12. Section 20-374 of the administrative code, subdivisions d and e of such section as added by local law number 175 for the year 2018, is amended to read as follows:</w:t>
      </w:r>
    </w:p>
    <w:p w14:paraId="6AEA63D3"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lastRenderedPageBreak/>
        <w:t>§ 20-374 Granting and transferring of licenses. a. Any person, firm, partnership, corporation</w:t>
      </w:r>
      <w:r w:rsidRPr="001A540E">
        <w:rPr>
          <w:rFonts w:eastAsia="Times New Roman" w:cs="Times New Roman"/>
          <w:color w:val="000000"/>
          <w:szCs w:val="24"/>
          <w:u w:val="single"/>
          <w:lang w:eastAsia="zh-CN"/>
        </w:rPr>
        <w:t>,</w:t>
      </w:r>
      <w:r w:rsidRPr="001A540E">
        <w:rPr>
          <w:rFonts w:eastAsia="Times New Roman" w:cs="Times New Roman"/>
          <w:color w:val="000000"/>
          <w:szCs w:val="24"/>
          <w:lang w:eastAsia="zh-CN"/>
        </w:rPr>
        <w:t xml:space="preserve"> or association[,] owning or operating a sight-seeing bus[,] or buses [, or horse-drawn cab, or cabs] engaging in the business of transporting passengers in, about, over</w:t>
      </w:r>
      <w:r w:rsidRPr="001A540E">
        <w:rPr>
          <w:rFonts w:eastAsia="Times New Roman" w:cs="Times New Roman"/>
          <w:color w:val="000000"/>
          <w:szCs w:val="24"/>
          <w:u w:val="single"/>
          <w:lang w:eastAsia="zh-CN"/>
        </w:rPr>
        <w:t>,</w:t>
      </w:r>
      <w:r w:rsidRPr="001A540E">
        <w:rPr>
          <w:rFonts w:eastAsia="Times New Roman" w:cs="Times New Roman"/>
          <w:color w:val="000000"/>
          <w:szCs w:val="24"/>
          <w:lang w:eastAsia="zh-CN"/>
        </w:rPr>
        <w:t xml:space="preserve"> and upon any of the streets, avenues, bridges, highways, boulevards</w:t>
      </w:r>
      <w:r w:rsidRPr="001A540E">
        <w:rPr>
          <w:rFonts w:eastAsia="Times New Roman" w:cs="Times New Roman"/>
          <w:color w:val="000000"/>
          <w:szCs w:val="24"/>
          <w:u w:val="single"/>
          <w:lang w:eastAsia="zh-CN"/>
        </w:rPr>
        <w:t>,</w:t>
      </w:r>
      <w:r w:rsidRPr="001A540E">
        <w:rPr>
          <w:rFonts w:eastAsia="Times New Roman" w:cs="Times New Roman"/>
          <w:color w:val="000000"/>
          <w:szCs w:val="24"/>
          <w:lang w:eastAsia="zh-CN"/>
        </w:rPr>
        <w:t xml:space="preserve"> or public places within the limits of the city [of New York,] shall be issued a license for each bus [or cab] so operating, provided, however any such person, firm, partnership, corporation</w:t>
      </w:r>
      <w:r w:rsidRPr="001A540E">
        <w:rPr>
          <w:rFonts w:eastAsia="Times New Roman" w:cs="Times New Roman"/>
          <w:color w:val="000000"/>
          <w:szCs w:val="24"/>
          <w:u w:val="single"/>
          <w:lang w:eastAsia="zh-CN"/>
        </w:rPr>
        <w:t>,</w:t>
      </w:r>
      <w:r w:rsidRPr="001A540E">
        <w:rPr>
          <w:rFonts w:eastAsia="Times New Roman" w:cs="Times New Roman"/>
          <w:color w:val="000000"/>
          <w:szCs w:val="24"/>
          <w:lang w:eastAsia="zh-CN"/>
        </w:rPr>
        <w:t xml:space="preserve"> or association owning or operating a sight-seeing bus or buses shall first have obtained a license or licenses, as he or she shall be entitled to receive from the commissioner of motor vehicles of the state of New York as made and provided by law. </w:t>
      </w:r>
    </w:p>
    <w:p w14:paraId="3D047C88" w14:textId="77777777" w:rsidR="001A540E" w:rsidRPr="001A540E" w:rsidRDefault="001A540E" w:rsidP="001A540E">
      <w:pPr>
        <w:suppressAutoHyphens/>
        <w:spacing w:after="0" w:line="480" w:lineRule="auto"/>
        <w:ind w:firstLine="720"/>
        <w:jc w:val="both"/>
        <w:rPr>
          <w:rFonts w:eastAsia="Times New Roman" w:cs="Times New Roman"/>
          <w:szCs w:val="24"/>
          <w:u w:val="single"/>
          <w:lang w:eastAsia="zh-CN"/>
        </w:rPr>
      </w:pPr>
      <w:r w:rsidRPr="001A540E">
        <w:rPr>
          <w:rFonts w:eastAsia="Times New Roman" w:cs="Times New Roman"/>
          <w:color w:val="000000"/>
          <w:szCs w:val="24"/>
          <w:lang w:eastAsia="zh-CN"/>
        </w:rPr>
        <w:t>b. It shall be unlawful for a license, after being issued by the commissioner, to be transferred to any person, firm, partnership, corporation</w:t>
      </w:r>
      <w:r w:rsidRPr="001A540E">
        <w:rPr>
          <w:rFonts w:eastAsia="Times New Roman" w:cs="Times New Roman"/>
          <w:color w:val="000000"/>
          <w:szCs w:val="24"/>
          <w:u w:val="single"/>
          <w:lang w:eastAsia="zh-CN"/>
        </w:rPr>
        <w:t>,</w:t>
      </w:r>
      <w:r w:rsidRPr="001A540E">
        <w:rPr>
          <w:rFonts w:eastAsia="Times New Roman" w:cs="Times New Roman"/>
          <w:color w:val="000000"/>
          <w:szCs w:val="24"/>
          <w:lang w:eastAsia="zh-CN"/>
        </w:rPr>
        <w:t xml:space="preserve"> or association for any cause whatsoever[, except that licenses for horse-drawn cabs may be transferred with the approval of the commissioner. Upon voluntary sale or transfer of a licensed horse-drawn cab by the holder of a license or his or her legal representative, the licensee shall immediately notify the commissioner of his or her intention to replace such horse-drawn cab, or shall surrender his or her license. If the license is surrendered, the vendee or transferee may make application to the commissioner for the licensing of the horsedrawn cab so purchased. A new license shall then be issued by the commissioner in place of the license so surrendered, provided the applicant has demonstrated to the satisfaction of the commissioner that he or she is qualified to assume the duties and obligations of a horse-drawn cab license].</w:t>
      </w:r>
    </w:p>
    <w:p w14:paraId="702A3004"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 xml:space="preserve">c. [The commissioner shall issue additional licenses only after conducting a public hearing to determine whether the public convenience, welfare and necessity require the </w:t>
      </w:r>
      <w:r w:rsidRPr="001A540E">
        <w:rPr>
          <w:rFonts w:eastAsia="Times New Roman" w:cs="Times New Roman"/>
          <w:color w:val="000000"/>
          <w:szCs w:val="24"/>
          <w:lang w:eastAsia="zh-CN"/>
        </w:rPr>
        <w:lastRenderedPageBreak/>
        <w:t>operation of additional horse-drawn cabs. The public hearing shall be called upon his or her own motion or upon written request by any applicant. Notice of such public hearing shall be published in the City Record once a week for two consecutive weeks and shall be mailed to all current licensees. If the commissioner shall determine that additional horse-drawn cabs are necessary and advisable, he or she shall certify the number of new licenses to be granted. Not more than one such public hearing shall be held during any calendar year and the commissioner may refuse to consider any request if it appears that a recent public hearing has adequately considered the question. In making his or her determination, the commissioner shall consider among other things, the income of the driver, the income of the owner, the effect upon traffic, and the public demand. The new licenses which are granted shall be allocated to the then existent licensees in the ratio of the number of licenses held by the licensee to the total number of licenses issued and in effect. If a licensee does not accept his or her allotted number within sixty days, his or her additional licenses shall be allocated in the same manner among the remaining licensees. If the number of additional licenses authorized is insufficient to permit such allocation, then the distribution among those licensees entitled to the smallest number of additional licenses shall be made so that priority shall be given to those who have been uninterruptedly licensed for the longest period. New applicants for such additional licenses shall be considered only when the present licensees refuse to accept their allocation of licenses in the manner provided above. The distribution of such additional licenses to new applicants shall be in the order of their filing, provided however that each new applicant shall not be entitled to more than one such additional license until each new applicant who has filed at the time of distribution and who is otherwise eligible has received one license.</w:t>
      </w:r>
    </w:p>
    <w:p w14:paraId="1D80F5A7"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lastRenderedPageBreak/>
        <w:t xml:space="preserve">d.] An owner of a sight-seeing bus company applying for or renewing a license issued pursuant to subdivision a of this section shall first obtain written authorization from the commissioner of transportation for all designated on-street bus stops for the pickup and discharge of passengers in order to be eligible for the issuance or renewal of such license. Sight-seeing bus owners shall, in the event that a written authorization required by this subdivision is modified or revoked by the commissioner of transportation, notify the commissioner within [five] </w:t>
      </w:r>
      <w:r w:rsidRPr="001A540E">
        <w:rPr>
          <w:rFonts w:eastAsia="Times New Roman" w:cs="Times New Roman"/>
          <w:color w:val="000000"/>
          <w:szCs w:val="24"/>
          <w:u w:val="single"/>
          <w:lang w:eastAsia="zh-CN"/>
        </w:rPr>
        <w:t>5</w:t>
      </w:r>
      <w:r w:rsidRPr="001A540E">
        <w:rPr>
          <w:rFonts w:eastAsia="Times New Roman" w:cs="Times New Roman"/>
          <w:color w:val="000000"/>
          <w:szCs w:val="24"/>
          <w:lang w:eastAsia="zh-CN"/>
        </w:rPr>
        <w:t xml:space="preserve"> days of receiving notice of such modification or revocation. </w:t>
      </w:r>
    </w:p>
    <w:p w14:paraId="775CC63B"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 xml:space="preserve">[e.] </w:t>
      </w:r>
      <w:r w:rsidRPr="001A540E">
        <w:rPr>
          <w:rFonts w:eastAsia="Times New Roman" w:cs="Times New Roman"/>
          <w:color w:val="000000"/>
          <w:szCs w:val="24"/>
          <w:u w:val="single"/>
          <w:lang w:eastAsia="zh-CN"/>
        </w:rPr>
        <w:t>d.</w:t>
      </w:r>
      <w:r w:rsidRPr="001A540E">
        <w:rPr>
          <w:rFonts w:eastAsia="Times New Roman" w:cs="Times New Roman"/>
          <w:color w:val="000000"/>
          <w:szCs w:val="24"/>
          <w:lang w:eastAsia="zh-CN"/>
        </w:rPr>
        <w:t xml:space="preserve"> An owner of a sight-seeing bus company that does not have a written authorization from the commissioner of transportation because such sight-seeing bus company does not require on-street bus stops for its operations, shall provide the department with information on whether (i) such sight-seeing bus company engages in the pickup or discharge of passengers at various locations in the city, and if so, then (ii) such owner of a sight-seeing bus company shall provide to the department a list of all such passenger pick up and discharge locations. </w:t>
      </w:r>
    </w:p>
    <w:p w14:paraId="3D2DB8F9"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 13. Subchapter 21 of chapter 2 of title 20 of the administrative code of the city of New York is amended by adding a new section 20-374.1 to read as follows:</w:t>
      </w:r>
    </w:p>
    <w:p w14:paraId="1E1E05E5"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u w:val="single"/>
          <w:lang w:eastAsia="zh-CN"/>
        </w:rPr>
        <w:t>§ 20-374.1 Horse drawn cab licenses and license plates. Notwithstanding sections 20-374 and 20-375, the commissioner shall not issue a new license for a horse drawn cab nor accept an application for such license. A valid unexpired license may be renewed for a limited term, and shall expire no later than June 1, 2028.</w:t>
      </w:r>
    </w:p>
    <w:p w14:paraId="00D4E914"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 14. Section 20-375 of the administrative code of the city of New York, as amended by local law number 2 for the year 1994, is amended to read as follows:</w:t>
      </w:r>
    </w:p>
    <w:p w14:paraId="02FE514D" w14:textId="77777777" w:rsidR="001A540E" w:rsidRPr="001A540E" w:rsidRDefault="001A540E" w:rsidP="001A540E">
      <w:pPr>
        <w:spacing w:after="0" w:line="480" w:lineRule="auto"/>
        <w:ind w:firstLine="720"/>
        <w:jc w:val="both"/>
        <w:rPr>
          <w:rFonts w:eastAsia="Times New Roman" w:cs="Times New Roman"/>
          <w:color w:val="000000"/>
          <w:sz w:val="27"/>
          <w:szCs w:val="27"/>
          <w:u w:val="single"/>
          <w:lang w:eastAsia="zh-CN"/>
        </w:rPr>
      </w:pPr>
      <w:r w:rsidRPr="001A540E">
        <w:rPr>
          <w:rFonts w:eastAsia="Times New Roman" w:cs="Times New Roman"/>
          <w:color w:val="000000"/>
          <w:szCs w:val="24"/>
          <w:lang w:eastAsia="zh-CN"/>
        </w:rPr>
        <w:lastRenderedPageBreak/>
        <w:t>§ 20-375 License plate.</w:t>
      </w:r>
      <w:r w:rsidRPr="001A540E">
        <w:rPr>
          <w:rFonts w:eastAsia="Times New Roman" w:cs="Times New Roman"/>
          <w:b/>
          <w:bCs/>
          <w:color w:val="000000"/>
          <w:szCs w:val="24"/>
          <w:lang w:eastAsia="zh-CN"/>
        </w:rPr>
        <w:t xml:space="preserve"> </w:t>
      </w:r>
      <w:r w:rsidRPr="001A540E">
        <w:rPr>
          <w:rFonts w:eastAsia="Times New Roman" w:cs="Times New Roman"/>
          <w:color w:val="000000"/>
          <w:szCs w:val="24"/>
          <w:lang w:eastAsia="zh-CN"/>
        </w:rPr>
        <w:t>Upon the payment of the license fee the commissioner shall issue a license to the owner of the sightseeing bus [or horse drawn cab] together with a license plate to be securely affixed to a conspicuous and indispensable part of such sightseeing bus [or securely and conspicuously affixed to the rear axle of such horse drawn cab], on which shall be clearly set forth the license number of such sightseeing bus [or horse drawn cab]. The license plate issued to the licensee may, in the discretion of the commissioner, be a plate of a permanent nature with a replaceable date tag attached thereto, indicating the expiration date of the plate during each license year and the issuance of such a plate with such date tag to a person possessing such a plate, shall be deemed issuance of a license plate. Such license plate and the replaceable date tag to be issued from year to year to be attached thereto, shall be of such material, form, design</w:t>
      </w:r>
      <w:r w:rsidRPr="001A540E">
        <w:rPr>
          <w:rFonts w:eastAsia="Times New Roman" w:cs="Times New Roman"/>
          <w:color w:val="000000"/>
          <w:szCs w:val="24"/>
          <w:u w:val="single"/>
          <w:lang w:eastAsia="zh-CN"/>
        </w:rPr>
        <w:t>,</w:t>
      </w:r>
      <w:r w:rsidRPr="001A540E">
        <w:rPr>
          <w:rFonts w:eastAsia="Times New Roman" w:cs="Times New Roman"/>
          <w:color w:val="000000"/>
          <w:szCs w:val="24"/>
          <w:lang w:eastAsia="zh-CN"/>
        </w:rPr>
        <w:t xml:space="preserve"> and dimension and set forth such distinguishing number or other identification marks as the commissioner shall prescribe. The commissioner upon renewal of the license hereunder, may continue the use of the license plate for as many additional license years as [he or she in his or her discretion] </w:t>
      </w:r>
      <w:r w:rsidRPr="001A540E">
        <w:rPr>
          <w:rFonts w:eastAsia="Times New Roman" w:cs="Times New Roman"/>
          <w:color w:val="000000"/>
          <w:szCs w:val="24"/>
          <w:u w:val="single"/>
          <w:lang w:eastAsia="zh-CN"/>
        </w:rPr>
        <w:t>the commissioner</w:t>
      </w:r>
      <w:r w:rsidRPr="001A540E">
        <w:rPr>
          <w:rFonts w:eastAsia="Times New Roman" w:cs="Times New Roman"/>
          <w:color w:val="000000"/>
          <w:szCs w:val="24"/>
          <w:lang w:eastAsia="zh-CN"/>
        </w:rPr>
        <w:t xml:space="preserve"> may determine, in which event [he or she] </w:t>
      </w:r>
      <w:r w:rsidRPr="001A540E">
        <w:rPr>
          <w:rFonts w:eastAsia="Times New Roman" w:cs="Times New Roman"/>
          <w:color w:val="000000"/>
          <w:szCs w:val="24"/>
          <w:u w:val="single"/>
          <w:lang w:eastAsia="zh-CN"/>
        </w:rPr>
        <w:t>the commissioner</w:t>
      </w:r>
      <w:r w:rsidRPr="001A540E">
        <w:rPr>
          <w:rFonts w:eastAsia="Times New Roman" w:cs="Times New Roman"/>
          <w:color w:val="000000"/>
          <w:szCs w:val="24"/>
          <w:lang w:eastAsia="zh-CN"/>
        </w:rPr>
        <w:t xml:space="preserve"> shall issue and deliver to the licensee a replaceable date tag as evidence of renewal of the license, which shall be attached or affixed in such manner as he or she may prescribe by rule. The failure to affix or display such date tag in a manner prescribed by the commissioner shall constitute a violation of this section. In the event of the loss, mutilation</w:t>
      </w:r>
      <w:r w:rsidRPr="001A540E">
        <w:rPr>
          <w:rFonts w:eastAsia="Times New Roman" w:cs="Times New Roman"/>
          <w:color w:val="000000"/>
          <w:szCs w:val="24"/>
          <w:u w:val="single"/>
          <w:lang w:eastAsia="zh-CN"/>
        </w:rPr>
        <w:t>,</w:t>
      </w:r>
      <w:r w:rsidRPr="001A540E">
        <w:rPr>
          <w:rFonts w:eastAsia="Times New Roman" w:cs="Times New Roman"/>
          <w:color w:val="000000"/>
          <w:szCs w:val="24"/>
          <w:lang w:eastAsia="zh-CN"/>
        </w:rPr>
        <w:t xml:space="preserve"> or destruction of any license plate or date tag issued hereunder, the owner may file such statement and proof of facts as the commissioner shall require, with a fee of [twenty-five dollars] </w:t>
      </w:r>
      <w:r w:rsidRPr="001A540E">
        <w:rPr>
          <w:rFonts w:eastAsia="Times New Roman" w:cs="Times New Roman"/>
          <w:color w:val="000000"/>
          <w:szCs w:val="24"/>
          <w:u w:val="single"/>
          <w:lang w:eastAsia="zh-CN"/>
        </w:rPr>
        <w:t>$25</w:t>
      </w:r>
      <w:r w:rsidRPr="001A540E">
        <w:rPr>
          <w:rFonts w:eastAsia="Times New Roman" w:cs="Times New Roman"/>
          <w:color w:val="000000"/>
          <w:szCs w:val="24"/>
          <w:lang w:eastAsia="zh-CN"/>
        </w:rPr>
        <w:t>, at the department, and the department shall issue a duplicate or substitute license plate or date tag</w:t>
      </w:r>
      <w:r w:rsidRPr="001A540E">
        <w:rPr>
          <w:rFonts w:eastAsia="Times New Roman" w:cs="Times New Roman"/>
          <w:color w:val="000000"/>
          <w:sz w:val="27"/>
          <w:szCs w:val="27"/>
          <w:lang w:eastAsia="zh-CN"/>
        </w:rPr>
        <w:t>.</w:t>
      </w:r>
    </w:p>
    <w:p w14:paraId="7181B0D1" w14:textId="77777777" w:rsidR="001A540E" w:rsidRPr="001A540E" w:rsidRDefault="001A540E" w:rsidP="001A540E">
      <w:pPr>
        <w:suppressAutoHyphens/>
        <w:spacing w:after="0" w:line="480" w:lineRule="auto"/>
        <w:ind w:firstLine="720"/>
        <w:jc w:val="both"/>
        <w:rPr>
          <w:rFonts w:eastAsia="Times New Roman" w:cs="Times New Roman"/>
          <w:szCs w:val="20"/>
          <w:lang w:eastAsia="zh-CN"/>
        </w:rPr>
      </w:pPr>
      <w:r w:rsidRPr="001A540E">
        <w:rPr>
          <w:rFonts w:eastAsia="Times New Roman" w:cs="Times New Roman"/>
          <w:szCs w:val="20"/>
          <w:lang w:eastAsia="zh-CN"/>
        </w:rPr>
        <w:lastRenderedPageBreak/>
        <w:t xml:space="preserve">§ 15. Sections 20-377 and 20-377.1 of the administrative code of the city of New York are REPEALED. </w:t>
      </w:r>
    </w:p>
    <w:p w14:paraId="17692FF5"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 16. Section 20-378 of the administrative code of the city of New York is amended to read as follows:</w:t>
      </w:r>
    </w:p>
    <w:p w14:paraId="3961960F" w14:textId="77777777" w:rsidR="001A540E" w:rsidRPr="001A540E" w:rsidRDefault="001A540E" w:rsidP="001A540E">
      <w:pPr>
        <w:spacing w:after="0" w:line="480" w:lineRule="auto"/>
        <w:ind w:firstLine="720"/>
        <w:jc w:val="both"/>
        <w:rPr>
          <w:rFonts w:eastAsia="Times New Roman" w:cs="Times New Roman"/>
          <w:color w:val="000000"/>
          <w:szCs w:val="24"/>
          <w:u w:val="single"/>
          <w:lang w:eastAsia="zh-CN"/>
        </w:rPr>
      </w:pPr>
      <w:r w:rsidRPr="001A540E">
        <w:rPr>
          <w:rFonts w:eastAsia="Times New Roman" w:cs="Times New Roman"/>
          <w:color w:val="000000"/>
          <w:szCs w:val="24"/>
          <w:lang w:eastAsia="zh-CN"/>
        </w:rPr>
        <w:t>§ 20-378 Periodic inspection.</w:t>
      </w:r>
      <w:r w:rsidRPr="001A540E">
        <w:rPr>
          <w:rFonts w:eastAsia="Times New Roman" w:cs="Times New Roman"/>
          <w:b/>
          <w:bCs/>
          <w:color w:val="000000"/>
          <w:szCs w:val="24"/>
          <w:lang w:eastAsia="zh-CN"/>
        </w:rPr>
        <w:t xml:space="preserve"> </w:t>
      </w:r>
      <w:r w:rsidRPr="001A540E">
        <w:rPr>
          <w:rFonts w:eastAsia="Times New Roman" w:cs="Times New Roman"/>
          <w:color w:val="000000"/>
          <w:szCs w:val="24"/>
          <w:lang w:eastAsia="zh-CN"/>
        </w:rPr>
        <w:t xml:space="preserve">The license department shall cause all sight-seeing buses [and horse-drawn cabs] now, or hereafter licensed, to be inspected at least once every [four] </w:t>
      </w:r>
      <w:r w:rsidRPr="001A540E">
        <w:rPr>
          <w:rFonts w:eastAsia="Times New Roman" w:cs="Times New Roman"/>
          <w:color w:val="000000"/>
          <w:szCs w:val="24"/>
          <w:u w:val="single"/>
          <w:lang w:eastAsia="zh-CN"/>
        </w:rPr>
        <w:t>4</w:t>
      </w:r>
      <w:r w:rsidRPr="001A540E">
        <w:rPr>
          <w:rFonts w:eastAsia="Times New Roman" w:cs="Times New Roman"/>
          <w:color w:val="000000"/>
          <w:szCs w:val="24"/>
          <w:lang w:eastAsia="zh-CN"/>
        </w:rPr>
        <w:t xml:space="preserve"> months. The date of such inspection and the signature of the person making the inspection shall be recorded upon the inspection card in the spaces provided therefor.</w:t>
      </w:r>
    </w:p>
    <w:p w14:paraId="6FC67EEF"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 17. Section 20-379 of the administrative code of the city of New York is amended to read as follows:</w:t>
      </w:r>
    </w:p>
    <w:p w14:paraId="2D008D96" w14:textId="77777777" w:rsidR="001A540E" w:rsidRPr="001A540E" w:rsidRDefault="001A540E" w:rsidP="001A540E">
      <w:pPr>
        <w:spacing w:after="0" w:line="480" w:lineRule="auto"/>
        <w:ind w:firstLine="720"/>
        <w:jc w:val="both"/>
        <w:rPr>
          <w:rFonts w:eastAsia="Times New Roman" w:cs="Times New Roman"/>
          <w:color w:val="000000"/>
          <w:szCs w:val="24"/>
          <w:u w:val="single"/>
          <w:lang w:eastAsia="zh-CN"/>
        </w:rPr>
      </w:pPr>
      <w:r w:rsidRPr="001A540E">
        <w:rPr>
          <w:rFonts w:eastAsia="Times New Roman" w:cs="Times New Roman"/>
          <w:color w:val="000000"/>
          <w:szCs w:val="24"/>
          <w:lang w:eastAsia="zh-CN"/>
        </w:rPr>
        <w:t>§ 20-379 Form of inspection card.</w:t>
      </w:r>
      <w:r w:rsidRPr="001A540E">
        <w:rPr>
          <w:rFonts w:eastAsia="Times New Roman" w:cs="Times New Roman"/>
          <w:b/>
          <w:bCs/>
          <w:color w:val="000000"/>
          <w:szCs w:val="24"/>
          <w:lang w:eastAsia="zh-CN"/>
        </w:rPr>
        <w:t xml:space="preserve"> </w:t>
      </w:r>
      <w:r w:rsidRPr="001A540E">
        <w:rPr>
          <w:rFonts w:eastAsia="Times New Roman" w:cs="Times New Roman"/>
          <w:color w:val="000000"/>
          <w:szCs w:val="24"/>
          <w:lang w:eastAsia="zh-CN"/>
        </w:rPr>
        <w:t>The commissioner shall prescribe an appropriate form of inspection card for sight-seeing buses [and horse-drawn cabs] and the manner in which such card and the sight-seeing bus driver's [and horse-drawn cab driver's] identification cards shall be displayed.</w:t>
      </w:r>
    </w:p>
    <w:p w14:paraId="09448997"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 18. Sections 20-380, 20-381, 20-381.1, 20-381.2, 20-382 and subdivisions b, c, and d of section 20-383 of the administrative code of the city of New York are REPEALED. </w:t>
      </w:r>
    </w:p>
    <w:p w14:paraId="255F0E05"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19. Section 20-381 of the administrative code of the city of New York is amended by adding a new subdivision g to read as follows:</w:t>
      </w:r>
    </w:p>
    <w:p w14:paraId="4AA99714" w14:textId="77777777" w:rsidR="001A540E" w:rsidRPr="001A540E" w:rsidRDefault="001A540E" w:rsidP="001A540E">
      <w:pPr>
        <w:spacing w:after="0" w:line="480" w:lineRule="auto"/>
        <w:ind w:firstLine="720"/>
        <w:jc w:val="both"/>
        <w:rPr>
          <w:rFonts w:eastAsia="Times New Roman" w:cs="Times New Roman"/>
          <w:szCs w:val="24"/>
          <w:u w:val="single"/>
          <w:lang w:eastAsia="zh-CN"/>
        </w:rPr>
      </w:pPr>
      <w:r w:rsidRPr="001A540E">
        <w:rPr>
          <w:rFonts w:eastAsia="Times New Roman" w:cs="Times New Roman"/>
          <w:szCs w:val="24"/>
          <w:u w:val="single"/>
          <w:lang w:eastAsia="zh-CN"/>
        </w:rPr>
        <w:t xml:space="preserve">g. </w:t>
      </w:r>
      <w:r w:rsidRPr="001A540E">
        <w:rPr>
          <w:rFonts w:eastAsia="Times New Roman" w:cs="Times New Roman"/>
          <w:color w:val="000000"/>
          <w:szCs w:val="24"/>
          <w:u w:val="single"/>
          <w:lang w:eastAsia="zh-CN"/>
        </w:rPr>
        <w:t>No further horse drawn cab driver’s license shall be issued nor application for such license accepted. A valid unexpired license may be renewed for a limited term, and shall expire no later than June 1, 2028.</w:t>
      </w:r>
    </w:p>
    <w:p w14:paraId="6715BC1F"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lastRenderedPageBreak/>
        <w:t xml:space="preserve">§ 20. Section 24-330 of the administrative code of the city of New York is amended to read as follows: </w:t>
      </w:r>
    </w:p>
    <w:p w14:paraId="47DED3A4"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 24-330 Watering horses. a. Within the city, all publicly owned watering troughs, and those erected or maintained by the American Society for the prevention of cruelty to animals, shall be provided with the necessary piping and fixtures to enable the filling of pails with water therefrom, or otherwise modified in construction so as to meet the requirements of the board of health. The supply of water for such troughs shall be furnished by the department of environmental protection. All other horse-watering troughs on streets and public places in the city shall likewise be provided with the piping and fixtures necessary to enable the filling of pails with water, and the use of the water for that purpose shall be paid for. All horse-watering stations in streets and public places hereafter constructed or operated, shall conform to the provisions of this section. It shall be unlawful to draw water from such fixtures except to water horses or other animals. It shall be unlawful to tamper with such fixtures. </w:t>
      </w:r>
    </w:p>
    <w:p w14:paraId="4A6A2760"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b. [Every commercial vehicle to which a horse is attached, while on the public thoroughfares of the city, must be provided with a watering pail, which shall be used for the purpose of watering or feeding the horse or horses attached to the vehicle. </w:t>
      </w:r>
    </w:p>
    <w:p w14:paraId="65755DD2"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c.] The provisions of this section shall not prevent the establishment of temporary relief stations for watering horses in conformity with such requirements as may be imposed by the board of health, with the consent of the commissioner. </w:t>
      </w:r>
    </w:p>
    <w:p w14:paraId="629D3A39" w14:textId="77777777" w:rsidR="001A540E" w:rsidRPr="001A540E" w:rsidRDefault="001A540E" w:rsidP="001A540E">
      <w:pPr>
        <w:spacing w:after="0" w:line="480" w:lineRule="auto"/>
        <w:ind w:firstLine="720"/>
        <w:jc w:val="both"/>
        <w:rPr>
          <w:rFonts w:eastAsia="Times New Roman" w:cs="Times New Roman"/>
          <w:color w:val="000000"/>
          <w:szCs w:val="24"/>
          <w:lang w:eastAsia="zh-CN"/>
        </w:rPr>
      </w:pPr>
      <w:r w:rsidRPr="001A540E">
        <w:rPr>
          <w:rFonts w:eastAsia="Times New Roman" w:cs="Times New Roman"/>
          <w:color w:val="000000"/>
          <w:szCs w:val="24"/>
          <w:lang w:eastAsia="zh-CN"/>
        </w:rPr>
        <w:t xml:space="preserve">§ 21. Subchapter 21 of title 20 of the administrative code of the city of New York is amended by adding a new section 20-374.2 to read as follows: </w:t>
      </w:r>
    </w:p>
    <w:p w14:paraId="44CF7CFD"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color w:val="000000"/>
          <w:szCs w:val="24"/>
          <w:u w:val="single"/>
          <w:lang w:eastAsia="zh-CN"/>
        </w:rPr>
        <w:lastRenderedPageBreak/>
        <w:t>§ 20-374.2 Workforce development program. The department shall collaborate with the mayor’s office of talent and workforce development to administer a workforce development program for horse drawn cab drivers and other workers engaged in the business of operating such horse drawn cabs. Such program shall be designed to facilitate the transition of such drivers and workers to other fields of employment. The department shall provide information about this program to all persons licensed to drive a horse drawn cab.</w:t>
      </w:r>
    </w:p>
    <w:p w14:paraId="66FADF68"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color w:val="000000"/>
          <w:szCs w:val="24"/>
          <w:lang w:eastAsia="zh-CN"/>
        </w:rPr>
        <w:t xml:space="preserve">§ 22. </w:t>
      </w:r>
      <w:r w:rsidRPr="001A540E">
        <w:rPr>
          <w:rFonts w:eastAsia="Times New Roman" w:cs="Times New Roman"/>
          <w:szCs w:val="24"/>
          <w:lang w:eastAsia="zh-CN"/>
        </w:rPr>
        <w:t>This local law takes effect 90 days after it becomes law, except that:</w:t>
      </w:r>
    </w:p>
    <w:p w14:paraId="41598F65"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 xml:space="preserve">a. Sections one, four, five, six, seven, eight, nine, ten, eleven, twelve, fourteen, fifteen, sixteen, seventeen, eighteen, and twenty take effect on June 1, 2028; </w:t>
      </w:r>
    </w:p>
    <w:p w14:paraId="23DEDDC6" w14:textId="77777777" w:rsidR="001A540E" w:rsidRPr="001A540E" w:rsidRDefault="001A540E" w:rsidP="001A540E">
      <w:pPr>
        <w:spacing w:after="0" w:line="480" w:lineRule="auto"/>
        <w:ind w:firstLine="720"/>
        <w:jc w:val="both"/>
        <w:rPr>
          <w:rFonts w:eastAsia="Times New Roman" w:cs="Times New Roman"/>
          <w:szCs w:val="24"/>
          <w:lang w:eastAsia="zh-CN"/>
        </w:rPr>
      </w:pPr>
      <w:r w:rsidRPr="001A540E">
        <w:rPr>
          <w:rFonts w:eastAsia="Times New Roman" w:cs="Times New Roman"/>
          <w:szCs w:val="24"/>
          <w:lang w:eastAsia="zh-CN"/>
        </w:rPr>
        <w:t>b. Sections thirteen and nineteen take effect 90 days after this local law becomes law and expire and are deemed repealed on June 1, 2028;</w:t>
      </w:r>
      <w:bookmarkStart w:id="2" w:name="_Hlk86935665"/>
      <w:r w:rsidRPr="001A540E">
        <w:rPr>
          <w:rFonts w:eastAsia="Times New Roman" w:cs="Times New Roman"/>
          <w:szCs w:val="24"/>
          <w:lang w:eastAsia="zh-CN"/>
        </w:rPr>
        <w:t xml:space="preserve"> and</w:t>
      </w:r>
    </w:p>
    <w:p w14:paraId="37EEC4BB" w14:textId="77777777" w:rsidR="001A540E" w:rsidRPr="001A540E" w:rsidRDefault="001A540E" w:rsidP="001A540E">
      <w:pPr>
        <w:spacing w:after="0" w:line="480" w:lineRule="auto"/>
        <w:ind w:firstLine="720"/>
        <w:jc w:val="both"/>
        <w:rPr>
          <w:rFonts w:eastAsia="Times New Roman" w:cs="Times New Roman"/>
          <w:color w:val="212529"/>
          <w:szCs w:val="24"/>
          <w:shd w:val="clear" w:color="auto" w:fill="FFFFFF"/>
          <w:lang w:eastAsia="zh-CN"/>
        </w:rPr>
        <w:sectPr w:rsidR="001A540E" w:rsidRPr="001A540E" w:rsidSect="001A540E">
          <w:type w:val="continuous"/>
          <w:pgSz w:w="12240" w:h="15840"/>
          <w:pgMar w:top="1440" w:right="1800" w:bottom="1440" w:left="1800" w:header="720" w:footer="720" w:gutter="0"/>
          <w:lnNumType w:countBy="1"/>
          <w:cols w:space="720"/>
          <w:noEndnote/>
        </w:sectPr>
      </w:pPr>
      <w:r w:rsidRPr="001A540E">
        <w:rPr>
          <w:rFonts w:eastAsia="Times New Roman" w:cs="Times New Roman"/>
          <w:szCs w:val="24"/>
          <w:lang w:eastAsia="zh-CN"/>
        </w:rPr>
        <w:t>c. Section twenty-one takes effect 90 days after this local law becomes law and expires and is deemed repealed on June 1, 2030</w:t>
      </w:r>
      <w:r w:rsidRPr="001A540E">
        <w:rPr>
          <w:rFonts w:eastAsia="Times New Roman" w:cs="Times New Roman"/>
          <w:color w:val="212529"/>
          <w:szCs w:val="24"/>
          <w:shd w:val="clear" w:color="auto" w:fill="FFFFFF"/>
          <w:lang w:eastAsia="zh-CN"/>
        </w:rPr>
        <w:t>.</w:t>
      </w:r>
    </w:p>
    <w:bookmarkEnd w:id="2"/>
    <w:p w14:paraId="5DFDFE91" w14:textId="77777777" w:rsidR="001A540E" w:rsidRPr="001A540E" w:rsidRDefault="001A540E" w:rsidP="001A540E">
      <w:pPr>
        <w:spacing w:after="0" w:line="240" w:lineRule="auto"/>
        <w:rPr>
          <w:rFonts w:eastAsia="Times New Roman" w:cs="Times New Roman"/>
          <w:sz w:val="20"/>
          <w:szCs w:val="20"/>
          <w:lang w:eastAsia="zh-CN"/>
        </w:rPr>
      </w:pPr>
      <w:r w:rsidRPr="001A540E">
        <w:rPr>
          <w:rFonts w:eastAsia="Times New Roman" w:cs="Times New Roman"/>
          <w:sz w:val="20"/>
          <w:szCs w:val="20"/>
          <w:lang w:eastAsia="zh-CN"/>
        </w:rPr>
        <w:t>MC</w:t>
      </w:r>
    </w:p>
    <w:p w14:paraId="741BE933" w14:textId="77777777" w:rsidR="001A540E" w:rsidRPr="001A540E" w:rsidRDefault="001A540E" w:rsidP="001A540E">
      <w:pPr>
        <w:spacing w:after="0" w:line="240" w:lineRule="auto"/>
        <w:rPr>
          <w:rFonts w:eastAsia="Times New Roman" w:cs="Times New Roman"/>
          <w:sz w:val="20"/>
          <w:szCs w:val="20"/>
          <w:lang w:eastAsia="zh-CN"/>
        </w:rPr>
      </w:pPr>
      <w:r w:rsidRPr="001A540E">
        <w:rPr>
          <w:rFonts w:eastAsia="Times New Roman" w:cs="Times New Roman"/>
          <w:sz w:val="20"/>
          <w:szCs w:val="20"/>
          <w:lang w:eastAsia="zh-CN"/>
        </w:rPr>
        <w:t>LS# 6327</w:t>
      </w:r>
    </w:p>
    <w:p w14:paraId="6DCE3246" w14:textId="77777777" w:rsidR="001A540E" w:rsidRPr="001A540E" w:rsidRDefault="001A540E" w:rsidP="001A540E">
      <w:pPr>
        <w:spacing w:after="0" w:line="240" w:lineRule="auto"/>
        <w:rPr>
          <w:rFonts w:eastAsia="Times New Roman" w:cs="Times New Roman"/>
          <w:sz w:val="20"/>
          <w:szCs w:val="20"/>
          <w:lang w:eastAsia="zh-CN"/>
        </w:rPr>
      </w:pPr>
      <w:r w:rsidRPr="001A540E">
        <w:rPr>
          <w:rFonts w:eastAsia="Times New Roman" w:cs="Times New Roman"/>
          <w:sz w:val="20"/>
          <w:szCs w:val="20"/>
          <w:lang w:eastAsia="zh-CN"/>
        </w:rPr>
        <w:t>Int. #0967-2024</w:t>
      </w:r>
    </w:p>
    <w:p w14:paraId="1A6BA53D" w14:textId="77777777" w:rsidR="001A540E" w:rsidRPr="001A540E" w:rsidRDefault="001A540E" w:rsidP="001A540E">
      <w:pPr>
        <w:spacing w:after="0" w:line="240" w:lineRule="auto"/>
        <w:rPr>
          <w:rFonts w:eastAsia="Times New Roman" w:cs="Times New Roman"/>
          <w:szCs w:val="24"/>
          <w:lang w:eastAsia="zh-CN"/>
        </w:rPr>
      </w:pPr>
      <w:r w:rsidRPr="001A540E">
        <w:rPr>
          <w:rFonts w:eastAsia="Times New Roman" w:cs="Times New Roman"/>
          <w:sz w:val="20"/>
          <w:szCs w:val="20"/>
          <w:lang w:eastAsia="zh-CN"/>
        </w:rPr>
        <w:t>5/22/2026 12:10 PM</w:t>
      </w:r>
    </w:p>
    <w:p w14:paraId="1B70EF4F" w14:textId="77777777" w:rsidR="0063722E" w:rsidRDefault="0063722E">
      <w:pPr>
        <w:rPr>
          <w:rFonts w:eastAsia="Times New Roman" w:cs="Times New Roman"/>
          <w:sz w:val="18"/>
          <w:szCs w:val="18"/>
        </w:rPr>
      </w:pPr>
    </w:p>
    <w:sectPr w:rsidR="0063722E" w:rsidSect="00B67E73">
      <w:headerReference w:type="default" r:id="rId11"/>
      <w:footerReference w:type="default" r:id="rId1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B79DF" w14:textId="77777777" w:rsidR="00517D1B" w:rsidRDefault="00517D1B">
      <w:pPr>
        <w:spacing w:after="0" w:line="240" w:lineRule="auto"/>
      </w:pPr>
      <w:r>
        <w:separator/>
      </w:r>
    </w:p>
  </w:endnote>
  <w:endnote w:type="continuationSeparator" w:id="0">
    <w:p w14:paraId="506019F5" w14:textId="77777777" w:rsidR="00517D1B" w:rsidRDefault="00517D1B">
      <w:pPr>
        <w:spacing w:after="0" w:line="240" w:lineRule="auto"/>
      </w:pPr>
      <w:r>
        <w:continuationSeparator/>
      </w:r>
    </w:p>
  </w:endnote>
  <w:endnote w:type="continuationNotice" w:id="1">
    <w:p w14:paraId="0E208E01" w14:textId="77777777" w:rsidR="00517D1B" w:rsidRDefault="00517D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540100"/>
      <w:docPartObj>
        <w:docPartGallery w:val="Page Numbers (Bottom of Page)"/>
        <w:docPartUnique/>
      </w:docPartObj>
    </w:sdtPr>
    <w:sdtEndPr>
      <w:rPr>
        <w:noProof/>
      </w:rPr>
    </w:sdtEndPr>
    <w:sdtContent>
      <w:p w14:paraId="03D23946" w14:textId="2CE9C79D" w:rsidR="00D54FC6" w:rsidRDefault="00D54FC6">
        <w:pPr>
          <w:pStyle w:val="Footer"/>
          <w:jc w:val="center"/>
        </w:pPr>
        <w:r w:rsidRPr="00C56AED">
          <w:fldChar w:fldCharType="begin"/>
        </w:r>
        <w:r w:rsidRPr="00C56AED">
          <w:instrText xml:space="preserve"> PAGE   \* MERGEFORMAT </w:instrText>
        </w:r>
        <w:r w:rsidRPr="00C56AED">
          <w:fldChar w:fldCharType="separate"/>
        </w:r>
        <w:r w:rsidR="002D0DC0">
          <w:rPr>
            <w:noProof/>
          </w:rPr>
          <w:t>19</w:t>
        </w:r>
        <w:r w:rsidRPr="00C56AED">
          <w:rPr>
            <w:noProof/>
          </w:rPr>
          <w:fldChar w:fldCharType="end"/>
        </w:r>
      </w:p>
    </w:sdtContent>
  </w:sdt>
  <w:p w14:paraId="39876C52" w14:textId="77777777" w:rsidR="00D54FC6" w:rsidRDefault="00D54F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991167"/>
      <w:docPartObj>
        <w:docPartGallery w:val="Page Numbers (Bottom of Page)"/>
        <w:docPartUnique/>
      </w:docPartObj>
    </w:sdtPr>
    <w:sdtEndPr>
      <w:rPr>
        <w:noProof/>
      </w:rPr>
    </w:sdtEndPr>
    <w:sdtContent>
      <w:p w14:paraId="2EAEC7BD" w14:textId="5C9006FB" w:rsidR="001A540E" w:rsidRDefault="001A540E">
        <w:pPr>
          <w:pStyle w:val="Footer"/>
          <w:jc w:val="center"/>
        </w:pPr>
        <w:r>
          <w:fldChar w:fldCharType="begin"/>
        </w:r>
        <w:r>
          <w:instrText xml:space="preserve"> PAGE   \* MERGEFORMAT </w:instrText>
        </w:r>
        <w:r>
          <w:fldChar w:fldCharType="separate"/>
        </w:r>
        <w:r w:rsidR="002D0DC0">
          <w:rPr>
            <w:noProof/>
          </w:rPr>
          <w:t>20</w:t>
        </w:r>
        <w:r>
          <w:rPr>
            <w:noProof/>
          </w:rPr>
          <w:fldChar w:fldCharType="end"/>
        </w:r>
      </w:p>
    </w:sdtContent>
  </w:sdt>
  <w:p w14:paraId="02316871" w14:textId="77777777" w:rsidR="001A540E" w:rsidRDefault="001A54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841977"/>
      <w:docPartObj>
        <w:docPartGallery w:val="Page Numbers (Bottom of Page)"/>
        <w:docPartUnique/>
      </w:docPartObj>
    </w:sdtPr>
    <w:sdtEndPr>
      <w:rPr>
        <w:noProof/>
      </w:rPr>
    </w:sdtEndPr>
    <w:sdtContent>
      <w:p w14:paraId="350C7D51" w14:textId="549E6C42" w:rsidR="00D54FC6" w:rsidRDefault="00D54FC6" w:rsidP="004130F5">
        <w:pPr>
          <w:pStyle w:val="Footer"/>
          <w:ind w:firstLine="0"/>
          <w:jc w:val="center"/>
        </w:pPr>
        <w:r>
          <w:fldChar w:fldCharType="begin"/>
        </w:r>
        <w:r>
          <w:instrText xml:space="preserve"> PAGE   \* MERGEFORMAT </w:instrText>
        </w:r>
        <w:r>
          <w:fldChar w:fldCharType="separate"/>
        </w:r>
        <w:r w:rsidR="00AA2E66">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64333" w14:textId="77777777" w:rsidR="00517D1B" w:rsidRDefault="00517D1B">
      <w:pPr>
        <w:spacing w:after="0" w:line="240" w:lineRule="auto"/>
      </w:pPr>
      <w:r>
        <w:separator/>
      </w:r>
    </w:p>
  </w:footnote>
  <w:footnote w:type="continuationSeparator" w:id="0">
    <w:p w14:paraId="4D6CE019" w14:textId="77777777" w:rsidR="00517D1B" w:rsidRDefault="00517D1B">
      <w:pPr>
        <w:spacing w:after="0" w:line="240" w:lineRule="auto"/>
      </w:pPr>
      <w:r>
        <w:continuationSeparator/>
      </w:r>
    </w:p>
  </w:footnote>
  <w:footnote w:type="continuationNotice" w:id="1">
    <w:p w14:paraId="348071F0" w14:textId="77777777" w:rsidR="00517D1B" w:rsidRDefault="00517D1B">
      <w:pPr>
        <w:spacing w:after="0" w:line="240" w:lineRule="auto"/>
      </w:pPr>
    </w:p>
  </w:footnote>
  <w:footnote w:id="2">
    <w:p w14:paraId="3CA33A84" w14:textId="01B5D908" w:rsidR="004748FE" w:rsidRPr="00FE3DEB" w:rsidRDefault="004748FE">
      <w:pPr>
        <w:pStyle w:val="FootnoteText"/>
      </w:pPr>
      <w:r>
        <w:rPr>
          <w:rStyle w:val="FootnoteReference"/>
        </w:rPr>
        <w:footnoteRef/>
      </w:r>
      <w:r w:rsidR="007E47C3">
        <w:t xml:space="preserve">Natalie </w:t>
      </w:r>
      <w:r w:rsidR="00FE3DEB">
        <w:t xml:space="preserve">O’Neill, </w:t>
      </w:r>
      <w:r w:rsidR="001E0569">
        <w:t>“</w:t>
      </w:r>
      <w:r w:rsidRPr="00A1795A">
        <w:rPr>
          <w:iCs/>
        </w:rPr>
        <w:t xml:space="preserve">Everything You Need to Know </w:t>
      </w:r>
      <w:r w:rsidR="00FE3DEB" w:rsidRPr="00A1795A">
        <w:rPr>
          <w:iCs/>
        </w:rPr>
        <w:t>About NYC’s Horse Carriage Industry</w:t>
      </w:r>
      <w:r w:rsidR="009621D6">
        <w:rPr>
          <w:iCs/>
        </w:rPr>
        <w:t xml:space="preserve">,” </w:t>
      </w:r>
      <w:r w:rsidR="00FE3DEB">
        <w:t xml:space="preserve">NY Post, </w:t>
      </w:r>
      <w:r w:rsidR="001E0569">
        <w:t>(</w:t>
      </w:r>
      <w:r w:rsidR="00FE3DEB">
        <w:t xml:space="preserve">Aug. 11, 2022), </w:t>
      </w:r>
      <w:hyperlink r:id="rId1" w:history="1">
        <w:r w:rsidR="00FE3DEB" w:rsidRPr="00AE1011">
          <w:rPr>
            <w:rStyle w:val="Hyperlink"/>
            <w:rFonts w:ascii="Times New Roman" w:hAnsi="Times New Roman"/>
            <w:sz w:val="20"/>
            <w:szCs w:val="20"/>
          </w:rPr>
          <w:t>https://nypost.com/2022/08/11/everything-you-need-to-know-about-nycs-horse-and-carriage-industry/</w:t>
        </w:r>
      </w:hyperlink>
      <w:r w:rsidR="00FE3DEB">
        <w:t xml:space="preserve">; </w:t>
      </w:r>
      <w:r w:rsidR="007E47C3">
        <w:t xml:space="preserve">Sara </w:t>
      </w:r>
      <w:r w:rsidR="00FE3DEB">
        <w:t xml:space="preserve">Shibata, </w:t>
      </w:r>
      <w:r w:rsidR="001E0569">
        <w:t>“</w:t>
      </w:r>
      <w:r w:rsidR="00FE3DEB" w:rsidRPr="00A1795A">
        <w:rPr>
          <w:iCs/>
        </w:rPr>
        <w:t>NYC carriage horses: History, laws, controversy</w:t>
      </w:r>
      <w:r w:rsidR="001E0569">
        <w:rPr>
          <w:i/>
          <w:iCs/>
        </w:rPr>
        <w:t>”,</w:t>
      </w:r>
      <w:r w:rsidR="00FE3DEB">
        <w:rPr>
          <w:i/>
          <w:iCs/>
        </w:rPr>
        <w:t xml:space="preserve"> </w:t>
      </w:r>
      <w:r w:rsidR="00FE3DEB">
        <w:t>FOX 5 N</w:t>
      </w:r>
      <w:r w:rsidR="001E0569">
        <w:t xml:space="preserve">ew </w:t>
      </w:r>
      <w:r w:rsidR="00FE3DEB">
        <w:t>Y</w:t>
      </w:r>
      <w:r w:rsidR="001E0569">
        <w:t>ork</w:t>
      </w:r>
      <w:r w:rsidR="00FE3DEB">
        <w:t xml:space="preserve">, </w:t>
      </w:r>
      <w:r w:rsidR="001E0569">
        <w:t>(</w:t>
      </w:r>
      <w:r w:rsidR="00FE3DEB">
        <w:t xml:space="preserve">Aug. 6, 2025), </w:t>
      </w:r>
      <w:hyperlink r:id="rId2" w:history="1">
        <w:r w:rsidR="00FE3DEB" w:rsidRPr="00AE1011">
          <w:rPr>
            <w:rStyle w:val="Hyperlink"/>
            <w:rFonts w:ascii="Times New Roman" w:hAnsi="Times New Roman"/>
            <w:sz w:val="20"/>
            <w:szCs w:val="20"/>
          </w:rPr>
          <w:t>https://www.fox5ny.com/news/nyc-carriage-horse-controversy-laws-history</w:t>
        </w:r>
      </w:hyperlink>
      <w:r w:rsidR="00FE3DEB">
        <w:t xml:space="preserve">. </w:t>
      </w:r>
    </w:p>
  </w:footnote>
  <w:footnote w:id="3">
    <w:p w14:paraId="5C4B5BFC" w14:textId="2E3A92A0" w:rsidR="00FE3DEB" w:rsidRPr="00FE3DEB" w:rsidRDefault="00FE3DEB">
      <w:pPr>
        <w:pStyle w:val="FootnoteText"/>
      </w:pPr>
      <w:r>
        <w:rPr>
          <w:rStyle w:val="FootnoteReference"/>
        </w:rPr>
        <w:footnoteRef/>
      </w:r>
      <w:r>
        <w:t xml:space="preserve"> </w:t>
      </w:r>
      <w:r>
        <w:rPr>
          <w:i/>
          <w:iCs/>
        </w:rPr>
        <w:t>Id.</w:t>
      </w:r>
    </w:p>
  </w:footnote>
  <w:footnote w:id="4">
    <w:p w14:paraId="7DCD1105" w14:textId="0F738DA1" w:rsidR="00044296" w:rsidRPr="00A0178E" w:rsidRDefault="00044296">
      <w:pPr>
        <w:pStyle w:val="FootnoteText"/>
      </w:pPr>
      <w:r>
        <w:rPr>
          <w:rStyle w:val="FootnoteReference"/>
        </w:rPr>
        <w:footnoteRef/>
      </w:r>
      <w:r>
        <w:t xml:space="preserve"> </w:t>
      </w:r>
      <w:r w:rsidR="000F6124">
        <w:t>Email on file with Committee Staff.</w:t>
      </w:r>
    </w:p>
  </w:footnote>
  <w:footnote w:id="5">
    <w:p w14:paraId="5CB5975A" w14:textId="3A408929" w:rsidR="00044296" w:rsidRPr="004D1C39" w:rsidRDefault="00044296">
      <w:pPr>
        <w:pStyle w:val="FootnoteText"/>
      </w:pPr>
      <w:r>
        <w:rPr>
          <w:rStyle w:val="FootnoteReference"/>
        </w:rPr>
        <w:footnoteRef/>
      </w:r>
      <w:r>
        <w:t xml:space="preserve"> </w:t>
      </w:r>
      <w:r w:rsidR="00DF1FA9">
        <w:t>NYC Open Data</w:t>
      </w:r>
      <w:r w:rsidR="004B1A0B">
        <w:t>, “DCWP Licen</w:t>
      </w:r>
      <w:r w:rsidR="00542605">
        <w:t>sed Vehicles,”</w:t>
      </w:r>
      <w:r w:rsidR="004D1C39">
        <w:t xml:space="preserve"> </w:t>
      </w:r>
      <w:r w:rsidR="004D1C39">
        <w:rPr>
          <w:i/>
          <w:iCs/>
        </w:rPr>
        <w:t>available at</w:t>
      </w:r>
      <w:r w:rsidR="004D1C39">
        <w:t xml:space="preserve">: </w:t>
      </w:r>
      <w:hyperlink r:id="rId3" w:history="1">
        <w:r w:rsidR="0022523C" w:rsidRPr="00DC6D12">
          <w:rPr>
            <w:rStyle w:val="Hyperlink"/>
            <w:rFonts w:ascii="Times New Roman" w:hAnsi="Times New Roman"/>
            <w:sz w:val="20"/>
            <w:szCs w:val="20"/>
          </w:rPr>
          <w:t>https://data.cityofnewyork.us/Business/DCWP-Licensed-Vehicles/9vpn-rpgs/about_data</w:t>
        </w:r>
      </w:hyperlink>
      <w:r w:rsidR="0022523C">
        <w:t xml:space="preserve"> (last visited July 10, 2026).</w:t>
      </w:r>
    </w:p>
  </w:footnote>
  <w:footnote w:id="6">
    <w:p w14:paraId="191EE13B" w14:textId="14284F2A" w:rsidR="004052B6" w:rsidRPr="004D7935" w:rsidRDefault="004052B6" w:rsidP="004052B6">
      <w:pPr>
        <w:pStyle w:val="FootnoteText"/>
      </w:pPr>
      <w:r w:rsidRPr="004D7935">
        <w:rPr>
          <w:rStyle w:val="FootnoteReference"/>
        </w:rPr>
        <w:footnoteRef/>
      </w:r>
      <w:r w:rsidRPr="004D7935">
        <w:t xml:space="preserve"> Transport Workers Union Local 100, “Central Park Horse Carriages,” </w:t>
      </w:r>
      <w:r w:rsidRPr="004D7935">
        <w:rPr>
          <w:i/>
          <w:iCs/>
        </w:rPr>
        <w:t>available at</w:t>
      </w:r>
      <w:r w:rsidRPr="004D7935">
        <w:t xml:space="preserve">: </w:t>
      </w:r>
      <w:hyperlink r:id="rId4" w:history="1">
        <w:r w:rsidRPr="004D7935">
          <w:rPr>
            <w:rStyle w:val="Hyperlink"/>
            <w:rFonts w:ascii="Times New Roman" w:hAnsi="Times New Roman"/>
            <w:sz w:val="20"/>
            <w:szCs w:val="20"/>
          </w:rPr>
          <w:t>https://www.twulocal100.org/central-park-horse-carriages</w:t>
        </w:r>
      </w:hyperlink>
      <w:r w:rsidRPr="004D7935">
        <w:t xml:space="preserve"> (last visited July </w:t>
      </w:r>
      <w:r w:rsidR="00CD7B63">
        <w:t>10</w:t>
      </w:r>
      <w:r w:rsidRPr="004D7935">
        <w:t>, 2026).</w:t>
      </w:r>
    </w:p>
  </w:footnote>
  <w:footnote w:id="7">
    <w:p w14:paraId="50B3632F" w14:textId="77777777" w:rsidR="004052B6" w:rsidRPr="004D7935" w:rsidRDefault="004052B6" w:rsidP="004052B6">
      <w:pPr>
        <w:pStyle w:val="FootnoteText"/>
      </w:pPr>
      <w:r w:rsidRPr="004D7935">
        <w:rPr>
          <w:rStyle w:val="FootnoteReference"/>
        </w:rPr>
        <w:footnoteRef/>
      </w:r>
      <w:r w:rsidRPr="004D7935">
        <w:t xml:space="preserve"> </w:t>
      </w:r>
      <w:r w:rsidRPr="004D7935">
        <w:rPr>
          <w:i/>
          <w:iCs/>
        </w:rPr>
        <w:t>Id</w:t>
      </w:r>
      <w:r w:rsidRPr="004D7935">
        <w:t>.</w:t>
      </w:r>
    </w:p>
  </w:footnote>
  <w:footnote w:id="8">
    <w:p w14:paraId="0CF0D83F" w14:textId="77777777" w:rsidR="004052B6" w:rsidRPr="004D7935" w:rsidRDefault="004052B6" w:rsidP="004052B6">
      <w:pPr>
        <w:pStyle w:val="FootnoteText"/>
      </w:pPr>
      <w:r w:rsidRPr="004D7935">
        <w:rPr>
          <w:rStyle w:val="FootnoteReference"/>
        </w:rPr>
        <w:footnoteRef/>
      </w:r>
      <w:r w:rsidRPr="004D7935">
        <w:t xml:space="preserve"> Carriage Horses NYC, “Stables,” </w:t>
      </w:r>
      <w:r w:rsidRPr="004D7935">
        <w:rPr>
          <w:i/>
          <w:iCs/>
        </w:rPr>
        <w:t>available at</w:t>
      </w:r>
      <w:r w:rsidRPr="004D7935">
        <w:t xml:space="preserve"> </w:t>
      </w:r>
      <w:hyperlink r:id="rId5" w:history="1">
        <w:r w:rsidRPr="004D7935">
          <w:rPr>
            <w:rStyle w:val="Hyperlink"/>
            <w:rFonts w:ascii="Times New Roman" w:hAnsi="Times New Roman"/>
            <w:sz w:val="20"/>
            <w:szCs w:val="20"/>
          </w:rPr>
          <w:t>https://www.carriagehorsesnyc.com/stables</w:t>
        </w:r>
      </w:hyperlink>
      <w:r w:rsidRPr="004D7935">
        <w:t xml:space="preserve"> (last visited July 6, 2026).</w:t>
      </w:r>
    </w:p>
  </w:footnote>
  <w:footnote w:id="9">
    <w:p w14:paraId="0EA49805" w14:textId="77777777" w:rsidR="004052B6" w:rsidRPr="004D7935" w:rsidRDefault="004052B6" w:rsidP="004052B6">
      <w:pPr>
        <w:pStyle w:val="FootnoteText"/>
      </w:pPr>
      <w:r w:rsidRPr="004D7935">
        <w:rPr>
          <w:rStyle w:val="FootnoteReference"/>
        </w:rPr>
        <w:footnoteRef/>
      </w:r>
      <w:r w:rsidRPr="004D7935">
        <w:t xml:space="preserve"> </w:t>
      </w:r>
      <w:r w:rsidRPr="004D7935">
        <w:rPr>
          <w:i/>
          <w:iCs/>
        </w:rPr>
        <w:t>Id</w:t>
      </w:r>
      <w:r w:rsidRPr="004D7935">
        <w:t>.</w:t>
      </w:r>
    </w:p>
  </w:footnote>
  <w:footnote w:id="10">
    <w:p w14:paraId="5B68B4F5" w14:textId="77BAB288" w:rsidR="004052B6" w:rsidRPr="004D7935" w:rsidRDefault="004052B6" w:rsidP="004052B6">
      <w:pPr>
        <w:pStyle w:val="FootnoteText"/>
      </w:pPr>
      <w:r w:rsidRPr="004D7935">
        <w:rPr>
          <w:rStyle w:val="FootnoteReference"/>
        </w:rPr>
        <w:footnoteRef/>
      </w:r>
      <w:r w:rsidRPr="004D7935">
        <w:t xml:space="preserve"> Ad</w:t>
      </w:r>
      <w:r w:rsidR="00D64233">
        <w:t>min</w:t>
      </w:r>
      <w:r w:rsidRPr="004D7935">
        <w:t>. Code § 20-381.1</w:t>
      </w:r>
      <w:r w:rsidR="00D64233">
        <w:t>.</w:t>
      </w:r>
    </w:p>
  </w:footnote>
  <w:footnote w:id="11">
    <w:p w14:paraId="5AF2FD3C" w14:textId="77777777" w:rsidR="004052B6" w:rsidRPr="004D7935" w:rsidRDefault="004052B6" w:rsidP="004052B6">
      <w:pPr>
        <w:pStyle w:val="FootnoteText"/>
      </w:pPr>
      <w:r w:rsidRPr="004D7935">
        <w:rPr>
          <w:rStyle w:val="FootnoteReference"/>
        </w:rPr>
        <w:footnoteRef/>
      </w:r>
      <w:r w:rsidRPr="004D7935">
        <w:t xml:space="preserve"> Department of Health and Mental Hygiene, “Horses Working in NYC,” </w:t>
      </w:r>
      <w:r w:rsidRPr="004D7935">
        <w:rPr>
          <w:i/>
          <w:iCs/>
        </w:rPr>
        <w:t>available at</w:t>
      </w:r>
      <w:r w:rsidRPr="004D7935">
        <w:t>:</w:t>
      </w:r>
      <w:r w:rsidRPr="004D7935">
        <w:rPr>
          <w:i/>
          <w:iCs/>
        </w:rPr>
        <w:t xml:space="preserve"> </w:t>
      </w:r>
      <w:hyperlink r:id="rId6" w:history="1">
        <w:r w:rsidRPr="004D7935">
          <w:rPr>
            <w:rStyle w:val="Hyperlink"/>
            <w:rFonts w:ascii="Times New Roman" w:hAnsi="Times New Roman"/>
            <w:sz w:val="20"/>
            <w:szCs w:val="20"/>
          </w:rPr>
          <w:t>https://www.nyc.gov/site/doh/health/health-topics/horses.page</w:t>
        </w:r>
      </w:hyperlink>
      <w:r w:rsidRPr="004D7935">
        <w:t xml:space="preserve"> (last visited July 9, 2026).</w:t>
      </w:r>
    </w:p>
  </w:footnote>
  <w:footnote w:id="12">
    <w:p w14:paraId="41509639" w14:textId="458FAC65" w:rsidR="004052B6" w:rsidRPr="004D7935" w:rsidRDefault="004052B6" w:rsidP="004052B6">
      <w:pPr>
        <w:pStyle w:val="FootnoteText"/>
      </w:pPr>
      <w:r w:rsidRPr="004D7935">
        <w:rPr>
          <w:rStyle w:val="FootnoteReference"/>
        </w:rPr>
        <w:footnoteRef/>
      </w:r>
      <w:r w:rsidRPr="004D7935">
        <w:t xml:space="preserve"> </w:t>
      </w:r>
      <w:r w:rsidR="00D64233">
        <w:t>Admin. Code § 17-330.</w:t>
      </w:r>
    </w:p>
  </w:footnote>
  <w:footnote w:id="13">
    <w:p w14:paraId="4B9FDA87" w14:textId="723C4159" w:rsidR="004052B6" w:rsidRPr="004D7935" w:rsidRDefault="004052B6" w:rsidP="004052B6">
      <w:pPr>
        <w:pStyle w:val="FootnoteText"/>
      </w:pPr>
      <w:r w:rsidRPr="004D7935">
        <w:rPr>
          <w:rStyle w:val="FootnoteReference"/>
        </w:rPr>
        <w:footnoteRef/>
      </w:r>
      <w:r w:rsidRPr="004D7935">
        <w:t xml:space="preserve"> </w:t>
      </w:r>
      <w:r w:rsidR="00D64233">
        <w:t>Admin. Code § 20-381.1.</w:t>
      </w:r>
    </w:p>
  </w:footnote>
  <w:footnote w:id="14">
    <w:p w14:paraId="475F304C" w14:textId="5A63B6F3" w:rsidR="001E0569" w:rsidRDefault="001E0569">
      <w:pPr>
        <w:pStyle w:val="FootnoteText"/>
      </w:pPr>
      <w:r>
        <w:rPr>
          <w:rStyle w:val="FootnoteReference"/>
        </w:rPr>
        <w:footnoteRef/>
      </w:r>
      <w:r>
        <w:t xml:space="preserve"> </w:t>
      </w:r>
      <w:r w:rsidR="00FA1E19" w:rsidRPr="004D7935">
        <w:t xml:space="preserve">Department of Health and Mental Hygiene, “Horses Working in NYC,” </w:t>
      </w:r>
      <w:r w:rsidR="00FA1E19" w:rsidRPr="004D7935">
        <w:rPr>
          <w:i/>
          <w:iCs/>
        </w:rPr>
        <w:t>available at</w:t>
      </w:r>
      <w:r w:rsidR="00FA1E19" w:rsidRPr="004D7935">
        <w:t>:</w:t>
      </w:r>
      <w:r w:rsidR="00FA1E19" w:rsidRPr="004D7935">
        <w:rPr>
          <w:i/>
          <w:iCs/>
        </w:rPr>
        <w:t xml:space="preserve"> </w:t>
      </w:r>
      <w:hyperlink r:id="rId7" w:history="1">
        <w:r w:rsidR="00FA1E19" w:rsidRPr="004D7935">
          <w:rPr>
            <w:rStyle w:val="Hyperlink"/>
            <w:rFonts w:ascii="Times New Roman" w:hAnsi="Times New Roman"/>
            <w:sz w:val="20"/>
            <w:szCs w:val="20"/>
          </w:rPr>
          <w:t>https://www.nyc.gov/site/doh/health/health-topics/horses.page</w:t>
        </w:r>
      </w:hyperlink>
      <w:r w:rsidR="00FA1E19" w:rsidRPr="004D7935">
        <w:t xml:space="preserve"> (last visited July 9, 2026).</w:t>
      </w:r>
    </w:p>
  </w:footnote>
  <w:footnote w:id="15">
    <w:p w14:paraId="4E8F545E" w14:textId="2DE4C089" w:rsidR="004052B6" w:rsidRPr="004D7935" w:rsidRDefault="004052B6" w:rsidP="004052B6">
      <w:pPr>
        <w:pStyle w:val="FootnoteText"/>
      </w:pPr>
      <w:r w:rsidRPr="004D7935">
        <w:rPr>
          <w:rStyle w:val="FootnoteReference"/>
        </w:rPr>
        <w:footnoteRef/>
      </w:r>
      <w:r w:rsidRPr="004D7935">
        <w:t xml:space="preserve"> </w:t>
      </w:r>
      <w:r w:rsidR="00D64233">
        <w:t>Admin. Code § 17-330.</w:t>
      </w:r>
    </w:p>
  </w:footnote>
  <w:footnote w:id="16">
    <w:p w14:paraId="6BA4867E" w14:textId="77777777" w:rsidR="004052B6" w:rsidRPr="004D7935" w:rsidRDefault="004052B6" w:rsidP="004052B6">
      <w:pPr>
        <w:pStyle w:val="FootnoteText"/>
      </w:pPr>
      <w:r w:rsidRPr="004D7935">
        <w:rPr>
          <w:rStyle w:val="FootnoteReference"/>
        </w:rPr>
        <w:footnoteRef/>
      </w:r>
      <w:r w:rsidRPr="004D7935">
        <w:t xml:space="preserve"> </w:t>
      </w:r>
      <w:r w:rsidRPr="004D7935">
        <w:rPr>
          <w:i/>
          <w:iCs/>
        </w:rPr>
        <w:t>Id</w:t>
      </w:r>
      <w:r w:rsidRPr="004D7935">
        <w:t>.</w:t>
      </w:r>
    </w:p>
  </w:footnote>
  <w:footnote w:id="17">
    <w:p w14:paraId="21C882A4" w14:textId="77777777" w:rsidR="004052B6" w:rsidRPr="004D7935" w:rsidRDefault="004052B6" w:rsidP="004052B6">
      <w:pPr>
        <w:pStyle w:val="FootnoteText"/>
      </w:pPr>
      <w:r w:rsidRPr="004D7935">
        <w:rPr>
          <w:rStyle w:val="FootnoteReference"/>
        </w:rPr>
        <w:footnoteRef/>
      </w:r>
      <w:r w:rsidRPr="004D7935">
        <w:t xml:space="preserve"> </w:t>
      </w:r>
      <w:r w:rsidRPr="004D7935">
        <w:rPr>
          <w:i/>
          <w:iCs/>
        </w:rPr>
        <w:t>Id</w:t>
      </w:r>
      <w:r w:rsidRPr="004D7935">
        <w:t>.</w:t>
      </w:r>
    </w:p>
  </w:footnote>
  <w:footnote w:id="18">
    <w:p w14:paraId="24489297" w14:textId="77777777" w:rsidR="004052B6" w:rsidRPr="004D7935" w:rsidRDefault="004052B6" w:rsidP="004052B6">
      <w:pPr>
        <w:pStyle w:val="FootnoteText"/>
      </w:pPr>
      <w:r w:rsidRPr="004D7935">
        <w:rPr>
          <w:rStyle w:val="FootnoteReference"/>
        </w:rPr>
        <w:footnoteRef/>
      </w:r>
      <w:r w:rsidRPr="004D7935">
        <w:t xml:space="preserve"> </w:t>
      </w:r>
      <w:r w:rsidRPr="004D7935">
        <w:rPr>
          <w:i/>
          <w:iCs/>
        </w:rPr>
        <w:t>Id</w:t>
      </w:r>
      <w:r w:rsidRPr="004D7935">
        <w:t>.</w:t>
      </w:r>
    </w:p>
  </w:footnote>
  <w:footnote w:id="19">
    <w:p w14:paraId="0F2C6980" w14:textId="77777777" w:rsidR="004052B6" w:rsidRPr="004D7935" w:rsidRDefault="004052B6" w:rsidP="004052B6">
      <w:pPr>
        <w:pStyle w:val="FootnoteText"/>
      </w:pPr>
      <w:r w:rsidRPr="004D7935">
        <w:rPr>
          <w:rStyle w:val="FootnoteReference"/>
        </w:rPr>
        <w:footnoteRef/>
      </w:r>
      <w:r w:rsidRPr="004D7935">
        <w:t xml:space="preserve"> </w:t>
      </w:r>
      <w:r w:rsidRPr="004D7935">
        <w:rPr>
          <w:i/>
          <w:iCs/>
        </w:rPr>
        <w:t>Id</w:t>
      </w:r>
      <w:r w:rsidRPr="004D7935">
        <w:t>.</w:t>
      </w:r>
    </w:p>
  </w:footnote>
  <w:footnote w:id="20">
    <w:p w14:paraId="35D80148" w14:textId="77777777" w:rsidR="004052B6" w:rsidRPr="004D7935" w:rsidRDefault="004052B6" w:rsidP="004052B6">
      <w:pPr>
        <w:pStyle w:val="FootnoteText"/>
      </w:pPr>
      <w:r w:rsidRPr="004D7935">
        <w:rPr>
          <w:rStyle w:val="FootnoteReference"/>
        </w:rPr>
        <w:footnoteRef/>
      </w:r>
      <w:r w:rsidRPr="004D7935">
        <w:t xml:space="preserve"> </w:t>
      </w:r>
      <w:r w:rsidRPr="004D7935">
        <w:rPr>
          <w:i/>
          <w:iCs/>
        </w:rPr>
        <w:t>Id</w:t>
      </w:r>
      <w:r w:rsidRPr="004D7935">
        <w:t>.</w:t>
      </w:r>
    </w:p>
  </w:footnote>
  <w:footnote w:id="21">
    <w:p w14:paraId="3AB60052" w14:textId="5D94AA33" w:rsidR="004052B6" w:rsidRPr="004D7935" w:rsidRDefault="004052B6" w:rsidP="004052B6">
      <w:pPr>
        <w:pStyle w:val="FootnoteText"/>
      </w:pPr>
      <w:r w:rsidRPr="004D7935">
        <w:rPr>
          <w:rStyle w:val="FootnoteReference"/>
        </w:rPr>
        <w:footnoteRef/>
      </w:r>
      <w:r w:rsidRPr="004D7935">
        <w:t xml:space="preserve"> </w:t>
      </w:r>
      <w:r w:rsidR="00D64233">
        <w:t>56 RCNY §</w:t>
      </w:r>
      <w:r w:rsidR="001E0569">
        <w:t xml:space="preserve"> </w:t>
      </w:r>
      <w:r w:rsidR="00D64233">
        <w:t xml:space="preserve">1-05(q)(2). </w:t>
      </w:r>
      <w:r w:rsidR="00D64233">
        <w:rPr>
          <w:i/>
          <w:iCs/>
        </w:rPr>
        <w:t xml:space="preserve">See also </w:t>
      </w:r>
      <w:r w:rsidRPr="004D7935">
        <w:t>Central Park Conservancy, “</w:t>
      </w:r>
      <w:r w:rsidRPr="004D7935">
        <w:rPr>
          <w:rFonts w:eastAsiaTheme="minorHAnsi"/>
        </w:rPr>
        <w:t>Statement from the Central Park Conservancy on Most Recent Tragic Horse Carriage Incident in the Park</w:t>
      </w:r>
      <w:r w:rsidRPr="004D7935">
        <w:t xml:space="preserve">”, </w:t>
      </w:r>
      <w:r w:rsidRPr="004D7935">
        <w:rPr>
          <w:i/>
          <w:iCs/>
        </w:rPr>
        <w:t>available at</w:t>
      </w:r>
      <w:r w:rsidRPr="004D7935">
        <w:t xml:space="preserve">: </w:t>
      </w:r>
      <w:hyperlink r:id="rId8" w:history="1">
        <w:r w:rsidR="00D64233" w:rsidRPr="00C637CB">
          <w:rPr>
            <w:rStyle w:val="Hyperlink"/>
            <w:rFonts w:ascii="Times New Roman" w:hAnsi="Times New Roman"/>
            <w:sz w:val="20"/>
            <w:szCs w:val="20"/>
          </w:rPr>
          <w:t>https://www.centralparknyc.org/press/statement-from-the-central-park-conservancy-on-most-recent-tragic-horse-carriage-incident-in-the-park</w:t>
        </w:r>
      </w:hyperlink>
      <w:r w:rsidR="00D64233">
        <w:t xml:space="preserve"> </w:t>
      </w:r>
      <w:r w:rsidRPr="004D7935">
        <w:t>(last visited July 9, 2026).</w:t>
      </w:r>
    </w:p>
  </w:footnote>
  <w:footnote w:id="22">
    <w:p w14:paraId="73372978" w14:textId="77777777" w:rsidR="004052B6" w:rsidRPr="004D7935" w:rsidRDefault="004052B6" w:rsidP="004052B6">
      <w:pPr>
        <w:pStyle w:val="FootnoteText"/>
      </w:pPr>
      <w:r w:rsidRPr="004D7935">
        <w:rPr>
          <w:rStyle w:val="FootnoteReference"/>
        </w:rPr>
        <w:footnoteRef/>
      </w:r>
      <w:r w:rsidRPr="004D7935">
        <w:t xml:space="preserve"> Sara Shibata, “NYC carriage horses: History, laws, controversies,” </w:t>
      </w:r>
      <w:r w:rsidRPr="00A1795A">
        <w:rPr>
          <w:iCs/>
        </w:rPr>
        <w:t>Fox 5 New York</w:t>
      </w:r>
      <w:r w:rsidRPr="001E0569">
        <w:t>,</w:t>
      </w:r>
      <w:r w:rsidRPr="004D7935">
        <w:t xml:space="preserve"> (Aug. 6, 2025) </w:t>
      </w:r>
      <w:r w:rsidRPr="004D7935">
        <w:rPr>
          <w:i/>
          <w:iCs/>
        </w:rPr>
        <w:t>available at</w:t>
      </w:r>
      <w:r w:rsidRPr="004D7935">
        <w:t xml:space="preserve">: </w:t>
      </w:r>
      <w:hyperlink r:id="rId9" w:history="1">
        <w:r w:rsidRPr="004D7935">
          <w:rPr>
            <w:rStyle w:val="Hyperlink"/>
            <w:rFonts w:ascii="Times New Roman" w:hAnsi="Times New Roman"/>
            <w:sz w:val="20"/>
            <w:szCs w:val="20"/>
          </w:rPr>
          <w:t>https://www.fox5ny.com/news/nyc-carriage-horse-controversy-laws-history</w:t>
        </w:r>
      </w:hyperlink>
      <w:r w:rsidRPr="004D7935">
        <w:t xml:space="preserve"> (last visited July 9, 2026).</w:t>
      </w:r>
    </w:p>
  </w:footnote>
  <w:footnote w:id="23">
    <w:p w14:paraId="263EDF13" w14:textId="77777777" w:rsidR="004052B6" w:rsidRPr="004D7935" w:rsidRDefault="004052B6" w:rsidP="004052B6">
      <w:pPr>
        <w:pStyle w:val="FootnoteText"/>
      </w:pPr>
      <w:r w:rsidRPr="004D7935">
        <w:rPr>
          <w:rStyle w:val="FootnoteReference"/>
        </w:rPr>
        <w:footnoteRef/>
      </w:r>
      <w:r w:rsidRPr="004D7935">
        <w:t xml:space="preserve"> </w:t>
      </w:r>
      <w:r w:rsidRPr="004D7935">
        <w:rPr>
          <w:i/>
          <w:iCs/>
        </w:rPr>
        <w:t>Id</w:t>
      </w:r>
      <w:r w:rsidRPr="004D7935">
        <w:t>.</w:t>
      </w:r>
    </w:p>
  </w:footnote>
  <w:footnote w:id="24">
    <w:p w14:paraId="5500A6C1" w14:textId="77777777" w:rsidR="004052B6" w:rsidRPr="004D7935" w:rsidRDefault="004052B6" w:rsidP="004052B6">
      <w:pPr>
        <w:pStyle w:val="FootnoteText"/>
      </w:pPr>
      <w:r w:rsidRPr="004D7935">
        <w:rPr>
          <w:rStyle w:val="FootnoteReference"/>
        </w:rPr>
        <w:footnoteRef/>
      </w:r>
      <w:r w:rsidRPr="004D7935">
        <w:t xml:space="preserve"> </w:t>
      </w:r>
      <w:r w:rsidRPr="004D7935">
        <w:rPr>
          <w:i/>
          <w:iCs/>
        </w:rPr>
        <w:t>Id</w:t>
      </w:r>
      <w:r w:rsidRPr="004D7935">
        <w:t>.</w:t>
      </w:r>
    </w:p>
  </w:footnote>
  <w:footnote w:id="25">
    <w:p w14:paraId="150A2590" w14:textId="77777777" w:rsidR="004052B6" w:rsidRPr="004D7935" w:rsidRDefault="004052B6" w:rsidP="004052B6">
      <w:pPr>
        <w:pStyle w:val="FootnoteText"/>
      </w:pPr>
      <w:r w:rsidRPr="004D7935">
        <w:rPr>
          <w:rStyle w:val="FootnoteReference"/>
        </w:rPr>
        <w:footnoteRef/>
      </w:r>
      <w:r w:rsidRPr="004D7935">
        <w:t xml:space="preserve"> Melissa Colorado, “NYC Carraige Horse Retired on Farm After Collapse on Midtown Street, Union Says,” </w:t>
      </w:r>
      <w:r w:rsidRPr="004D7935">
        <w:rPr>
          <w:i/>
          <w:iCs/>
        </w:rPr>
        <w:t>NBC New York</w:t>
      </w:r>
      <w:r w:rsidRPr="004D7935">
        <w:t xml:space="preserve">, (Aug. 26, 2022) </w:t>
      </w:r>
      <w:r w:rsidRPr="004D7935">
        <w:rPr>
          <w:i/>
          <w:iCs/>
        </w:rPr>
        <w:t>available at</w:t>
      </w:r>
      <w:r w:rsidRPr="004D7935">
        <w:t xml:space="preserve">: </w:t>
      </w:r>
      <w:hyperlink r:id="rId10" w:history="1">
        <w:r w:rsidRPr="004D7935">
          <w:rPr>
            <w:rStyle w:val="Hyperlink"/>
            <w:rFonts w:ascii="Times New Roman" w:hAnsi="Times New Roman"/>
            <w:sz w:val="20"/>
            <w:szCs w:val="20"/>
          </w:rPr>
          <w:t>https://www.nbcnewyork.com/news/local/nyc-carriage-horse-retired-on-farm-after-collapse-on-midtown-street-union-says-ny-only-spec/3840554/</w:t>
        </w:r>
      </w:hyperlink>
      <w:r w:rsidRPr="004D7935">
        <w:t xml:space="preserve"> (last visited July 9, 2026).</w:t>
      </w:r>
    </w:p>
  </w:footnote>
  <w:footnote w:id="26">
    <w:p w14:paraId="414FCAEC" w14:textId="6C6BD41A" w:rsidR="004052B6" w:rsidRPr="004D7935" w:rsidRDefault="004052B6" w:rsidP="004052B6">
      <w:pPr>
        <w:pStyle w:val="FootnoteText"/>
      </w:pPr>
      <w:r w:rsidRPr="004D7935">
        <w:rPr>
          <w:rStyle w:val="FootnoteReference"/>
        </w:rPr>
        <w:footnoteRef/>
      </w:r>
      <w:r w:rsidRPr="004D7935">
        <w:t xml:space="preserve"> </w:t>
      </w:r>
      <w:r w:rsidR="00D64233" w:rsidRPr="004D7935">
        <w:t xml:space="preserve">Sara Shibata, “NYC carriage horses: History, laws, controversies,” </w:t>
      </w:r>
      <w:r w:rsidR="00D64233" w:rsidRPr="004D7935">
        <w:rPr>
          <w:i/>
          <w:iCs/>
        </w:rPr>
        <w:t>Fox 5 New York</w:t>
      </w:r>
      <w:r w:rsidR="00D64233" w:rsidRPr="004D7935">
        <w:t xml:space="preserve">, (Aug. 6, 2025) </w:t>
      </w:r>
      <w:r w:rsidR="00D64233" w:rsidRPr="004D7935">
        <w:rPr>
          <w:i/>
          <w:iCs/>
        </w:rPr>
        <w:t>available at</w:t>
      </w:r>
      <w:r w:rsidR="00D64233" w:rsidRPr="004D7935">
        <w:t xml:space="preserve">: </w:t>
      </w:r>
      <w:hyperlink r:id="rId11" w:history="1">
        <w:r w:rsidR="00D64233" w:rsidRPr="004D7935">
          <w:rPr>
            <w:rStyle w:val="Hyperlink"/>
            <w:rFonts w:ascii="Times New Roman" w:hAnsi="Times New Roman"/>
            <w:sz w:val="20"/>
            <w:szCs w:val="20"/>
          </w:rPr>
          <w:t>https://www.fox5ny.com/news/nyc-carriage-horse-controversy-laws-history</w:t>
        </w:r>
      </w:hyperlink>
      <w:r w:rsidR="00D64233" w:rsidRPr="004D7935">
        <w:t xml:space="preserve"> (last visited July 9, 2026).</w:t>
      </w:r>
    </w:p>
  </w:footnote>
  <w:footnote w:id="27">
    <w:p w14:paraId="1B497CE4" w14:textId="624566C3" w:rsidR="007C59FE" w:rsidRPr="007C59FE" w:rsidRDefault="007C59FE">
      <w:pPr>
        <w:pStyle w:val="FootnoteText"/>
      </w:pPr>
      <w:r>
        <w:rPr>
          <w:rStyle w:val="FootnoteReference"/>
        </w:rPr>
        <w:footnoteRef/>
      </w:r>
      <w:r>
        <w:t xml:space="preserve"> NYC Council, </w:t>
      </w:r>
      <w:r>
        <w:rPr>
          <w:i/>
          <w:iCs/>
        </w:rPr>
        <w:t xml:space="preserve">Int. No. 573-2022, </w:t>
      </w:r>
      <w:r w:rsidR="009B3FE1">
        <w:rPr>
          <w:i/>
          <w:iCs/>
        </w:rPr>
        <w:t xml:space="preserve">available at: </w:t>
      </w:r>
      <w:hyperlink r:id="rId12" w:history="1">
        <w:r w:rsidRPr="007C59FE">
          <w:rPr>
            <w:rStyle w:val="Hyperlink"/>
            <w:rFonts w:ascii="Times New Roman" w:hAnsi="Times New Roman"/>
            <w:sz w:val="20"/>
            <w:szCs w:val="20"/>
          </w:rPr>
          <w:t>https://legistar.council.nyc.gov/LegislationDetail.aspx?ID=5725261&amp;GUID=08B70306-1523-4CCB-A8AB-1C506CB58635&amp;Options=ID|Text|&amp;Search=horse</w:t>
        </w:r>
      </w:hyperlink>
      <w:r w:rsidRPr="007C59FE">
        <w:t>.</w:t>
      </w:r>
      <w:r>
        <w:t xml:space="preserve"> The legislation was introduced on July 14, 2022. </w:t>
      </w:r>
      <w:r>
        <w:rPr>
          <w:i/>
          <w:iCs/>
        </w:rPr>
        <w:t>Id.</w:t>
      </w:r>
    </w:p>
  </w:footnote>
  <w:footnote w:id="28">
    <w:p w14:paraId="2D288FC2" w14:textId="77777777" w:rsidR="004052B6" w:rsidRPr="004D7935" w:rsidRDefault="004052B6" w:rsidP="004052B6">
      <w:pPr>
        <w:pStyle w:val="FootnoteText"/>
      </w:pPr>
      <w:r w:rsidRPr="004D7935">
        <w:rPr>
          <w:rStyle w:val="FootnoteReference"/>
        </w:rPr>
        <w:footnoteRef/>
      </w:r>
      <w:r w:rsidRPr="004D7935">
        <w:t xml:space="preserve"> </w:t>
      </w:r>
      <w:r w:rsidRPr="004D7935">
        <w:rPr>
          <w:i/>
          <w:iCs/>
        </w:rPr>
        <w:t>Id</w:t>
      </w:r>
      <w:r w:rsidRPr="004D7935">
        <w:t>.</w:t>
      </w:r>
    </w:p>
  </w:footnote>
  <w:footnote w:id="29">
    <w:p w14:paraId="081FDF05" w14:textId="1F61E7D5" w:rsidR="004052B6" w:rsidRPr="00D64233" w:rsidRDefault="004052B6" w:rsidP="004052B6">
      <w:pPr>
        <w:pStyle w:val="FootnoteText"/>
      </w:pPr>
      <w:r w:rsidRPr="004D7935">
        <w:rPr>
          <w:rStyle w:val="FootnoteReference"/>
        </w:rPr>
        <w:footnoteRef/>
      </w:r>
      <w:r w:rsidRPr="004D7935">
        <w:t xml:space="preserve"> </w:t>
      </w:r>
      <w:r w:rsidR="00D64233">
        <w:rPr>
          <w:i/>
          <w:iCs/>
        </w:rPr>
        <w:t xml:space="preserve">See, e.g., </w:t>
      </w:r>
      <w:r w:rsidR="00D64233" w:rsidRPr="004D7935">
        <w:t>Ad</w:t>
      </w:r>
      <w:r w:rsidR="00D64233">
        <w:t>min</w:t>
      </w:r>
      <w:r w:rsidR="00D64233" w:rsidRPr="004D7935">
        <w:t>. Code §</w:t>
      </w:r>
      <w:r w:rsidR="00D64233">
        <w:t>§ 17-330,</w:t>
      </w:r>
      <w:r w:rsidR="00D64233" w:rsidRPr="004D7935">
        <w:t xml:space="preserve"> 20-381.1</w:t>
      </w:r>
      <w:r w:rsidR="00D64233">
        <w:t>.</w:t>
      </w:r>
    </w:p>
  </w:footnote>
  <w:footnote w:id="30">
    <w:p w14:paraId="49BB789D" w14:textId="77777777" w:rsidR="004052B6" w:rsidRPr="004D7935" w:rsidRDefault="004052B6" w:rsidP="004052B6">
      <w:pPr>
        <w:pStyle w:val="FootnoteText"/>
      </w:pPr>
      <w:r w:rsidRPr="004D7935">
        <w:rPr>
          <w:rStyle w:val="FootnoteReference"/>
        </w:rPr>
        <w:footnoteRef/>
      </w:r>
      <w:r w:rsidRPr="004D7935">
        <w:t xml:space="preserve"> </w:t>
      </w:r>
      <w:r w:rsidRPr="004D7935">
        <w:rPr>
          <w:i/>
          <w:iCs/>
        </w:rPr>
        <w:t>Id</w:t>
      </w:r>
      <w:r w:rsidRPr="004D7935">
        <w:t>.</w:t>
      </w:r>
    </w:p>
  </w:footnote>
  <w:footnote w:id="31">
    <w:p w14:paraId="380F08E9" w14:textId="77777777" w:rsidR="004052B6" w:rsidRPr="004D7935" w:rsidRDefault="004052B6" w:rsidP="004052B6">
      <w:pPr>
        <w:pStyle w:val="FootnoteText"/>
      </w:pPr>
      <w:r w:rsidRPr="004D7935">
        <w:rPr>
          <w:rStyle w:val="FootnoteReference"/>
        </w:rPr>
        <w:footnoteRef/>
      </w:r>
      <w:r w:rsidRPr="004D7935">
        <w:t xml:space="preserve"> </w:t>
      </w:r>
      <w:r w:rsidRPr="004D7935">
        <w:rPr>
          <w:i/>
          <w:iCs/>
        </w:rPr>
        <w:t>Id</w:t>
      </w:r>
      <w:r w:rsidRPr="004D7935">
        <w:t>.</w:t>
      </w:r>
    </w:p>
  </w:footnote>
  <w:footnote w:id="32">
    <w:p w14:paraId="33D59F5F" w14:textId="77777777" w:rsidR="004052B6" w:rsidRPr="004D7935" w:rsidRDefault="004052B6" w:rsidP="004052B6">
      <w:pPr>
        <w:pStyle w:val="FootnoteText"/>
      </w:pPr>
      <w:r w:rsidRPr="004D7935">
        <w:rPr>
          <w:rStyle w:val="FootnoteReference"/>
        </w:rPr>
        <w:footnoteRef/>
      </w:r>
      <w:r w:rsidRPr="004D7935">
        <w:t xml:space="preserve"> </w:t>
      </w:r>
      <w:r w:rsidRPr="004D7935">
        <w:rPr>
          <w:i/>
          <w:iCs/>
        </w:rPr>
        <w:t>Id</w:t>
      </w:r>
      <w:r w:rsidRPr="004D7935">
        <w:t>.</w:t>
      </w:r>
    </w:p>
  </w:footnote>
  <w:footnote w:id="33">
    <w:p w14:paraId="254FD95A" w14:textId="77777777" w:rsidR="004052B6" w:rsidRPr="004D7935" w:rsidRDefault="004052B6" w:rsidP="004052B6">
      <w:pPr>
        <w:pStyle w:val="FootnoteText"/>
      </w:pPr>
      <w:r w:rsidRPr="004D7935">
        <w:rPr>
          <w:rStyle w:val="FootnoteReference"/>
        </w:rPr>
        <w:footnoteRef/>
      </w:r>
      <w:r w:rsidRPr="004D7935">
        <w:t xml:space="preserve"> </w:t>
      </w:r>
      <w:r w:rsidRPr="004D7935">
        <w:rPr>
          <w:i/>
          <w:iCs/>
        </w:rPr>
        <w:t>Id</w:t>
      </w:r>
      <w:r w:rsidRPr="004D7935">
        <w:t>.</w:t>
      </w:r>
    </w:p>
  </w:footnote>
  <w:footnote w:id="34">
    <w:p w14:paraId="0352235F" w14:textId="77777777" w:rsidR="004052B6" w:rsidRPr="004D7935" w:rsidRDefault="004052B6" w:rsidP="004052B6">
      <w:pPr>
        <w:pStyle w:val="FootnoteText"/>
      </w:pPr>
      <w:r w:rsidRPr="004D7935">
        <w:rPr>
          <w:rStyle w:val="FootnoteReference"/>
        </w:rPr>
        <w:footnoteRef/>
      </w:r>
      <w:r w:rsidRPr="004D7935">
        <w:t xml:space="preserve"> 34 RCNY § 4-12 (e).</w:t>
      </w:r>
    </w:p>
  </w:footnote>
  <w:footnote w:id="35">
    <w:p w14:paraId="45BF9AD7" w14:textId="2BE11C70" w:rsidR="006A26BE" w:rsidRPr="004D7935" w:rsidRDefault="006A26BE" w:rsidP="006A26BE">
      <w:pPr>
        <w:pStyle w:val="FootnoteText"/>
      </w:pPr>
      <w:r w:rsidRPr="004D7935">
        <w:rPr>
          <w:rStyle w:val="FootnoteReference"/>
        </w:rPr>
        <w:footnoteRef/>
      </w:r>
      <w:r w:rsidRPr="004D7935">
        <w:t xml:space="preserve"> Philip Marcelo &amp; Holly Ramer, “New York mayor, other leaders push to ban horse-drawn carriage rides after Indian teen’s death,” </w:t>
      </w:r>
      <w:r w:rsidR="00916BED">
        <w:t xml:space="preserve">Associated Press, </w:t>
      </w:r>
      <w:r w:rsidRPr="004D7935">
        <w:t xml:space="preserve">(June 18, 2026) </w:t>
      </w:r>
      <w:r w:rsidRPr="004D7935">
        <w:rPr>
          <w:i/>
          <w:iCs/>
        </w:rPr>
        <w:t>available at</w:t>
      </w:r>
      <w:r w:rsidRPr="004D7935">
        <w:t xml:space="preserve">: </w:t>
      </w:r>
      <w:hyperlink r:id="rId13" w:history="1">
        <w:r w:rsidRPr="004D7935">
          <w:rPr>
            <w:rStyle w:val="Hyperlink"/>
            <w:rFonts w:ascii="Times New Roman" w:hAnsi="Times New Roman"/>
            <w:sz w:val="20"/>
            <w:szCs w:val="20"/>
          </w:rPr>
          <w:t>https://apnews.com/article/central-park-horse-carriage-death-ban-industry-6d46f8bad0e0888e4f291fef4b89db00</w:t>
        </w:r>
      </w:hyperlink>
      <w:r w:rsidRPr="004D7935">
        <w:t xml:space="preserve"> (last visited July 1, 2026).</w:t>
      </w:r>
    </w:p>
  </w:footnote>
  <w:footnote w:id="36">
    <w:p w14:paraId="62A400A5" w14:textId="77777777" w:rsidR="006A26BE" w:rsidRPr="004D7935" w:rsidRDefault="006A26BE" w:rsidP="006A26BE">
      <w:pPr>
        <w:pStyle w:val="FootnoteText"/>
      </w:pPr>
      <w:r w:rsidRPr="004D7935">
        <w:rPr>
          <w:rStyle w:val="FootnoteReference"/>
        </w:rPr>
        <w:footnoteRef/>
      </w:r>
      <w:r w:rsidRPr="004D7935">
        <w:t xml:space="preserve"> Caitlyn Freeman, “Central Park Horse-Drawn Carriage Rides </w:t>
      </w:r>
      <w:proofErr w:type="gramStart"/>
      <w:r w:rsidRPr="004D7935">
        <w:t>Resume</w:t>
      </w:r>
      <w:proofErr w:type="gramEnd"/>
      <w:r w:rsidRPr="004D7935">
        <w:t xml:space="preserve">, as Push for Ban Intensifies,” </w:t>
      </w:r>
      <w:r w:rsidRPr="00A1795A">
        <w:rPr>
          <w:iCs/>
        </w:rPr>
        <w:t>New York Times</w:t>
      </w:r>
      <w:r w:rsidRPr="004D7935">
        <w:t xml:space="preserve">, (June 29, 2026), </w:t>
      </w:r>
      <w:r w:rsidRPr="004D7935">
        <w:rPr>
          <w:i/>
          <w:iCs/>
        </w:rPr>
        <w:t>available at</w:t>
      </w:r>
      <w:r w:rsidRPr="004D7935">
        <w:t xml:space="preserve">: </w:t>
      </w:r>
      <w:hyperlink r:id="rId14" w:history="1">
        <w:r w:rsidRPr="004D7935">
          <w:rPr>
            <w:rStyle w:val="Hyperlink"/>
            <w:rFonts w:ascii="Times New Roman" w:hAnsi="Times New Roman"/>
            <w:sz w:val="20"/>
            <w:szCs w:val="20"/>
          </w:rPr>
          <w:t>https://www.nytimes.com/2026/06/28/nyregion/central-park-horse-drawn-carriage-rides-resume-as-push-for-ban-intensifies.html</w:t>
        </w:r>
      </w:hyperlink>
      <w:r w:rsidRPr="004D7935">
        <w:t xml:space="preserve"> (last visited July 1, 2026).</w:t>
      </w:r>
    </w:p>
  </w:footnote>
  <w:footnote w:id="37">
    <w:p w14:paraId="48B9B247" w14:textId="54F05BEE" w:rsidR="006A26BE" w:rsidRPr="004D7935" w:rsidRDefault="006A26BE" w:rsidP="006A26BE">
      <w:pPr>
        <w:pStyle w:val="FootnoteText"/>
      </w:pPr>
      <w:r w:rsidRPr="004D7935">
        <w:rPr>
          <w:rStyle w:val="FootnoteReference"/>
        </w:rPr>
        <w:footnoteRef/>
      </w:r>
      <w:r w:rsidRPr="004D7935">
        <w:t xml:space="preserve"> Adi Guajardo, “18-year-old dies after horse carriage overturns in Central Park,” </w:t>
      </w:r>
      <w:r w:rsidRPr="00A1795A">
        <w:rPr>
          <w:iCs/>
        </w:rPr>
        <w:t>CBS New York</w:t>
      </w:r>
      <w:r w:rsidRPr="004D7935">
        <w:t xml:space="preserve">, (June 17, 2026), </w:t>
      </w:r>
      <w:r w:rsidRPr="004D7935">
        <w:rPr>
          <w:i/>
          <w:iCs/>
        </w:rPr>
        <w:t>available at</w:t>
      </w:r>
      <w:r w:rsidRPr="004D7935">
        <w:t xml:space="preserve">: </w:t>
      </w:r>
      <w:hyperlink r:id="rId15" w:history="1">
        <w:r w:rsidRPr="004D7935">
          <w:rPr>
            <w:rStyle w:val="Hyperlink"/>
            <w:rFonts w:ascii="Times New Roman" w:hAnsi="Times New Roman"/>
            <w:sz w:val="20"/>
            <w:szCs w:val="20"/>
          </w:rPr>
          <w:t>https://www.msn.com/en-us/news/us/18-year-old-dies-after-horse-carriage-overturns-in-central-park/ar-AA25U3GE?ocid=BingNewsSerp</w:t>
        </w:r>
      </w:hyperlink>
      <w:r w:rsidRPr="004D7935">
        <w:t xml:space="preserve"> (last visited July 1, 2026).</w:t>
      </w:r>
    </w:p>
  </w:footnote>
  <w:footnote w:id="38">
    <w:p w14:paraId="16F91CB2" w14:textId="77777777" w:rsidR="006A26BE" w:rsidRPr="004D7935" w:rsidRDefault="006A26BE" w:rsidP="006A26BE">
      <w:pPr>
        <w:pStyle w:val="FootnoteText"/>
      </w:pPr>
      <w:r w:rsidRPr="004D7935">
        <w:rPr>
          <w:rStyle w:val="FootnoteReference"/>
        </w:rPr>
        <w:footnoteRef/>
      </w:r>
      <w:r w:rsidRPr="004D7935">
        <w:t xml:space="preserve"> </w:t>
      </w:r>
      <w:r w:rsidRPr="004D7935">
        <w:rPr>
          <w:i/>
          <w:iCs/>
        </w:rPr>
        <w:t>Id</w:t>
      </w:r>
      <w:r w:rsidRPr="004D7935">
        <w:t>.</w:t>
      </w:r>
    </w:p>
  </w:footnote>
  <w:footnote w:id="39">
    <w:p w14:paraId="6DCE9667" w14:textId="77777777" w:rsidR="006A26BE" w:rsidRPr="004D7935" w:rsidRDefault="006A26BE" w:rsidP="006A26BE">
      <w:pPr>
        <w:pStyle w:val="FootnoteText"/>
      </w:pPr>
      <w:r w:rsidRPr="004D7935">
        <w:rPr>
          <w:rStyle w:val="FootnoteReference"/>
        </w:rPr>
        <w:footnoteRef/>
      </w:r>
      <w:r w:rsidRPr="004D7935">
        <w:t xml:space="preserve"> </w:t>
      </w:r>
      <w:r w:rsidRPr="004D7935">
        <w:rPr>
          <w:i/>
          <w:iCs/>
        </w:rPr>
        <w:t>Id</w:t>
      </w:r>
    </w:p>
  </w:footnote>
  <w:footnote w:id="40">
    <w:p w14:paraId="296CE109" w14:textId="77777777" w:rsidR="006A26BE" w:rsidRPr="004D7935" w:rsidRDefault="006A26BE" w:rsidP="006A26BE">
      <w:pPr>
        <w:pStyle w:val="FootnoteText"/>
      </w:pPr>
      <w:r w:rsidRPr="004D7935">
        <w:rPr>
          <w:rStyle w:val="FootnoteReference"/>
        </w:rPr>
        <w:footnoteRef/>
      </w:r>
      <w:r w:rsidRPr="004D7935">
        <w:t xml:space="preserve"> </w:t>
      </w:r>
      <w:r w:rsidRPr="004D7935">
        <w:rPr>
          <w:i/>
          <w:iCs/>
        </w:rPr>
        <w:t>Id</w:t>
      </w:r>
      <w:r w:rsidRPr="004D7935">
        <w:t>.</w:t>
      </w:r>
    </w:p>
  </w:footnote>
  <w:footnote w:id="41">
    <w:p w14:paraId="2ED8CACF" w14:textId="725B9F50" w:rsidR="001405CB" w:rsidRPr="00407D87" w:rsidRDefault="001405CB">
      <w:pPr>
        <w:pStyle w:val="FootnoteText"/>
      </w:pPr>
      <w:r>
        <w:rPr>
          <w:rStyle w:val="FootnoteReference"/>
        </w:rPr>
        <w:footnoteRef/>
      </w:r>
      <w:r>
        <w:t xml:space="preserve"> </w:t>
      </w:r>
      <w:r w:rsidR="009A6BD9">
        <w:t xml:space="preserve">Art </w:t>
      </w:r>
      <w:r w:rsidRPr="00626569">
        <w:t>Petrosemolo</w:t>
      </w:r>
      <w:r w:rsidRPr="001405CB">
        <w:t>,</w:t>
      </w:r>
      <w:r>
        <w:t xml:space="preserve"> </w:t>
      </w:r>
      <w:r w:rsidR="00E45E09">
        <w:t>“</w:t>
      </w:r>
      <w:r w:rsidRPr="00A1795A">
        <w:rPr>
          <w:iCs/>
        </w:rPr>
        <w:t>A Break From the Big Apple for New York Carriage Horses</w:t>
      </w:r>
      <w:r w:rsidR="00E45E09" w:rsidRPr="00A1795A">
        <w:rPr>
          <w:iCs/>
        </w:rPr>
        <w:t>”</w:t>
      </w:r>
      <w:r w:rsidR="00E45E09">
        <w:rPr>
          <w:i/>
          <w:iCs/>
        </w:rPr>
        <w:t>,</w:t>
      </w:r>
      <w:r w:rsidRPr="00626569">
        <w:rPr>
          <w:i/>
          <w:iCs/>
        </w:rPr>
        <w:t xml:space="preserve"> </w:t>
      </w:r>
      <w:r>
        <w:t xml:space="preserve">Lancaster Farming, </w:t>
      </w:r>
      <w:r w:rsidR="00E45E09">
        <w:t>(</w:t>
      </w:r>
      <w:r>
        <w:t>Jan. 17, 2024),</w:t>
      </w:r>
      <w:r w:rsidR="007F13A3">
        <w:t xml:space="preserve"> </w:t>
      </w:r>
      <w:r w:rsidR="007F13A3">
        <w:rPr>
          <w:i/>
        </w:rPr>
        <w:t>available at:</w:t>
      </w:r>
      <w:r>
        <w:t xml:space="preserve"> </w:t>
      </w:r>
      <w:hyperlink r:id="rId16" w:history="1">
        <w:r w:rsidRPr="00C637CB">
          <w:rPr>
            <w:rStyle w:val="Hyperlink"/>
            <w:rFonts w:ascii="Times New Roman" w:hAnsi="Times New Roman"/>
            <w:sz w:val="20"/>
            <w:szCs w:val="20"/>
          </w:rPr>
          <w:t>https://www.lancasterfarming.com/country-life/mid-atlantic-horse/a-break-from-the-big-apple-for-new-york-carriage-horses/article_b4ef50b5-36af-559e-a696-751637507d92.html</w:t>
        </w:r>
      </w:hyperlink>
      <w:r>
        <w:t xml:space="preserve">. </w:t>
      </w:r>
    </w:p>
  </w:footnote>
  <w:footnote w:id="42">
    <w:p w14:paraId="4E37E3F4" w14:textId="2A63B413" w:rsidR="006A26BE" w:rsidRPr="00407D87" w:rsidRDefault="006A26BE" w:rsidP="006A26BE">
      <w:pPr>
        <w:pStyle w:val="FootnoteText"/>
      </w:pPr>
      <w:r w:rsidRPr="004D7935">
        <w:rPr>
          <w:rStyle w:val="FootnoteReference"/>
        </w:rPr>
        <w:footnoteRef/>
      </w:r>
      <w:r w:rsidRPr="004D7935">
        <w:t xml:space="preserve"> </w:t>
      </w:r>
      <w:r w:rsidR="00407D87">
        <w:t>Erica</w:t>
      </w:r>
      <w:r w:rsidR="00BA5B48">
        <w:t xml:space="preserve"> Brosnan</w:t>
      </w:r>
      <w:r w:rsidR="00407D87">
        <w:t xml:space="preserve">, </w:t>
      </w:r>
      <w:r w:rsidR="00E45E09">
        <w:t>“</w:t>
      </w:r>
      <w:r w:rsidR="00407D87" w:rsidRPr="00A1795A">
        <w:rPr>
          <w:iCs/>
        </w:rPr>
        <w:t>Central Park horse carriage rides set to resume after safety training</w:t>
      </w:r>
      <w:r w:rsidR="00E45E09">
        <w:t>”,</w:t>
      </w:r>
      <w:r w:rsidR="00407D87">
        <w:t xml:space="preserve">Spectrum News NY1, </w:t>
      </w:r>
      <w:r w:rsidR="00E45E09">
        <w:t>(</w:t>
      </w:r>
      <w:r w:rsidR="00407D87">
        <w:t xml:space="preserve">Jun. 22, 2026), </w:t>
      </w:r>
      <w:r w:rsidR="00EE4978" w:rsidRPr="00A1795A">
        <w:rPr>
          <w:i/>
        </w:rPr>
        <w:t>available at</w:t>
      </w:r>
      <w:r w:rsidR="004B52BA">
        <w:rPr>
          <w:i/>
        </w:rPr>
        <w:t>:</w:t>
      </w:r>
      <w:r w:rsidR="00EE4978">
        <w:t xml:space="preserve"> </w:t>
      </w:r>
      <w:hyperlink r:id="rId17" w:history="1">
        <w:r w:rsidR="00EE4978" w:rsidRPr="003C3E1E">
          <w:rPr>
            <w:rStyle w:val="Hyperlink"/>
            <w:rFonts w:ascii="Times New Roman" w:hAnsi="Times New Roman"/>
            <w:sz w:val="20"/>
            <w:szCs w:val="20"/>
          </w:rPr>
          <w:t>https://ny1.com/nyc/manhattan/news/2026/06/22/central-park-horse-carriage-rides-set-to-resume-after-safety-training</w:t>
        </w:r>
      </w:hyperlink>
      <w:r w:rsidR="00EE4978">
        <w:t>;</w:t>
      </w:r>
      <w:r w:rsidR="00407D87">
        <w:t xml:space="preserve"> Safety t</w:t>
      </w:r>
      <w:r w:rsidR="00407D87" w:rsidRPr="00407D87">
        <w:t xml:space="preserve">raining sessions </w:t>
      </w:r>
      <w:r w:rsidR="00407D87">
        <w:t>were</w:t>
      </w:r>
      <w:r w:rsidR="00407D87" w:rsidRPr="00407D87">
        <w:t xml:space="preserve"> </w:t>
      </w:r>
      <w:r w:rsidR="00407D87">
        <w:t>reportedly</w:t>
      </w:r>
      <w:r w:rsidR="00407D87" w:rsidRPr="00407D87">
        <w:t xml:space="preserve"> focused on </w:t>
      </w:r>
      <w:r w:rsidR="00407D87">
        <w:t>“</w:t>
      </w:r>
      <w:r w:rsidR="00407D87" w:rsidRPr="00407D87">
        <w:t>maintaining control of carriage horses and ensuring drivers follow safety procedures at all times.</w:t>
      </w:r>
      <w:r w:rsidR="00407D87">
        <w:t xml:space="preserve">” </w:t>
      </w:r>
      <w:r w:rsidR="00407D87">
        <w:rPr>
          <w:i/>
          <w:iCs/>
        </w:rPr>
        <w:t>Id.</w:t>
      </w:r>
    </w:p>
  </w:footnote>
  <w:footnote w:id="43">
    <w:p w14:paraId="1D12BD98" w14:textId="2DF3B336" w:rsidR="008F5A7B" w:rsidRDefault="008F5A7B">
      <w:pPr>
        <w:pStyle w:val="FootnoteText"/>
      </w:pPr>
      <w:r>
        <w:rPr>
          <w:rStyle w:val="FootnoteReference"/>
        </w:rPr>
        <w:footnoteRef/>
      </w:r>
      <w:r>
        <w:t xml:space="preserve"> </w:t>
      </w:r>
      <w:r w:rsidR="00A1795A" w:rsidRPr="004D7935">
        <w:t xml:space="preserve">Adi Guajardo, “Carriage horse collapses, dies in Central Park, renewing calls to ban industry,” </w:t>
      </w:r>
      <w:r w:rsidR="00A1795A" w:rsidRPr="003E6F8A">
        <w:rPr>
          <w:iCs/>
        </w:rPr>
        <w:t>CBS New York</w:t>
      </w:r>
      <w:r w:rsidR="00A1795A" w:rsidRPr="00EE4978">
        <w:t>,</w:t>
      </w:r>
      <w:r w:rsidR="00A1795A" w:rsidRPr="004D7935">
        <w:t xml:space="preserve"> (June 9, 2026) </w:t>
      </w:r>
      <w:r w:rsidR="00A1795A" w:rsidRPr="004D7935">
        <w:rPr>
          <w:i/>
          <w:iCs/>
        </w:rPr>
        <w:t>available at</w:t>
      </w:r>
      <w:r w:rsidR="00A1795A" w:rsidRPr="004D7935">
        <w:t xml:space="preserve">: </w:t>
      </w:r>
      <w:hyperlink r:id="rId18" w:history="1">
        <w:r w:rsidR="00A1795A" w:rsidRPr="004D7935">
          <w:rPr>
            <w:rStyle w:val="Hyperlink"/>
            <w:rFonts w:ascii="Times New Roman" w:hAnsi="Times New Roman"/>
            <w:sz w:val="20"/>
            <w:szCs w:val="20"/>
          </w:rPr>
          <w:t>https://www.msn.com/en-us/news/us/carriage-horse-collapses-dies-in-central-park-renewing-calls-to-ban-industry/ar-AA25f7Zh?ocid=BingNewsVerp</w:t>
        </w:r>
      </w:hyperlink>
      <w:r w:rsidR="00A1795A" w:rsidRPr="004D7935">
        <w:t xml:space="preserve"> (last visited July 1, 2026)</w:t>
      </w:r>
    </w:p>
  </w:footnote>
  <w:footnote w:id="44">
    <w:p w14:paraId="67C45778" w14:textId="7CCB650C" w:rsidR="007D7479" w:rsidRPr="004D7935" w:rsidRDefault="007D7479" w:rsidP="007D7479">
      <w:pPr>
        <w:pStyle w:val="FootnoteText"/>
      </w:pPr>
      <w:r w:rsidRPr="004D7935">
        <w:rPr>
          <w:rStyle w:val="FootnoteReference"/>
        </w:rPr>
        <w:footnoteRef/>
      </w:r>
      <w:r w:rsidRPr="004D7935">
        <w:t xml:space="preserve"> </w:t>
      </w:r>
      <w:r w:rsidR="00A1795A" w:rsidRPr="00A1795A">
        <w:rPr>
          <w:i/>
          <w:iCs/>
        </w:rPr>
        <w:t>Id.</w:t>
      </w:r>
    </w:p>
  </w:footnote>
  <w:footnote w:id="45">
    <w:p w14:paraId="725C8051" w14:textId="77777777" w:rsidR="007D7479" w:rsidRPr="004D7935" w:rsidRDefault="007D7479" w:rsidP="007D7479">
      <w:pPr>
        <w:pStyle w:val="FootnoteText"/>
      </w:pPr>
      <w:r w:rsidRPr="004D7935">
        <w:rPr>
          <w:rStyle w:val="FootnoteReference"/>
        </w:rPr>
        <w:footnoteRef/>
      </w:r>
      <w:r w:rsidRPr="004D7935">
        <w:t xml:space="preserve"> Graig Graziosi, “Carriage horse in Central Park died after eating toxic plant,” </w:t>
      </w:r>
      <w:r w:rsidRPr="00A1795A">
        <w:rPr>
          <w:iCs/>
        </w:rPr>
        <w:t>The Independent</w:t>
      </w:r>
      <w:r w:rsidRPr="004D7935">
        <w:t xml:space="preserve">, (June 16, 2026) </w:t>
      </w:r>
      <w:r w:rsidRPr="004D7935">
        <w:rPr>
          <w:i/>
          <w:iCs/>
        </w:rPr>
        <w:t>available at</w:t>
      </w:r>
      <w:r w:rsidRPr="004D7935">
        <w:t xml:space="preserve">: </w:t>
      </w:r>
      <w:hyperlink r:id="rId19" w:history="1">
        <w:r w:rsidRPr="004D7935">
          <w:rPr>
            <w:rStyle w:val="Hyperlink"/>
            <w:rFonts w:ascii="Times New Roman" w:hAnsi="Times New Roman"/>
            <w:sz w:val="20"/>
            <w:szCs w:val="20"/>
          </w:rPr>
          <w:t>https://www.msn.com/en-nz/news/other/carriage-horse-in-central-park-died-after-eating-toxic-plant/ar-AA25NVS6?ocid=BingNewsVerp</w:t>
        </w:r>
      </w:hyperlink>
      <w:r w:rsidRPr="004D7935">
        <w:t xml:space="preserve"> (last visited July 9, 2026).</w:t>
      </w:r>
    </w:p>
  </w:footnote>
  <w:footnote w:id="46">
    <w:p w14:paraId="61B38894" w14:textId="77777777" w:rsidR="007D7479" w:rsidRPr="004D7935" w:rsidRDefault="007D7479" w:rsidP="007D7479">
      <w:pPr>
        <w:pStyle w:val="FootnoteText"/>
      </w:pPr>
      <w:r w:rsidRPr="004D7935">
        <w:rPr>
          <w:rStyle w:val="FootnoteReference"/>
        </w:rPr>
        <w:footnoteRef/>
      </w:r>
      <w:r w:rsidRPr="004D7935">
        <w:t xml:space="preserve"> </w:t>
      </w:r>
      <w:r w:rsidRPr="004D7935">
        <w:rPr>
          <w:i/>
          <w:iCs/>
        </w:rPr>
        <w:t>Id</w:t>
      </w:r>
      <w:r w:rsidRPr="004D7935">
        <w:t>.</w:t>
      </w:r>
    </w:p>
  </w:footnote>
  <w:footnote w:id="47">
    <w:p w14:paraId="3F8B77FF" w14:textId="4551FB4D" w:rsidR="007D7479" w:rsidRPr="00856416" w:rsidRDefault="007D7479" w:rsidP="007D7479">
      <w:pPr>
        <w:pStyle w:val="FootnoteText"/>
      </w:pPr>
      <w:r w:rsidRPr="004D7935">
        <w:rPr>
          <w:rStyle w:val="FootnoteReference"/>
        </w:rPr>
        <w:footnoteRef/>
      </w:r>
      <w:r w:rsidRPr="004D7935">
        <w:t xml:space="preserve"> </w:t>
      </w:r>
      <w:r w:rsidR="008F5279">
        <w:t xml:space="preserve">Erica </w:t>
      </w:r>
      <w:r w:rsidR="00856416">
        <w:t xml:space="preserve">Brosnan and </w:t>
      </w:r>
      <w:r w:rsidR="008F5279">
        <w:t xml:space="preserve">Nia </w:t>
      </w:r>
      <w:r w:rsidR="00856416">
        <w:t xml:space="preserve">Clark, </w:t>
      </w:r>
      <w:r w:rsidR="00491684">
        <w:t>“</w:t>
      </w:r>
      <w:r w:rsidR="00856416" w:rsidRPr="00856416">
        <w:t>Carriage</w:t>
      </w:r>
      <w:r w:rsidR="00A47251">
        <w:t xml:space="preserve"> </w:t>
      </w:r>
      <w:r w:rsidR="00856416" w:rsidRPr="00A1795A">
        <w:rPr>
          <w:iCs/>
        </w:rPr>
        <w:t>Horse collapses and dies in Manhattan, reigniting ban debate</w:t>
      </w:r>
      <w:r w:rsidR="008F05B5">
        <w:rPr>
          <w:iCs/>
        </w:rPr>
        <w:t>,”</w:t>
      </w:r>
      <w:r w:rsidR="00856416">
        <w:rPr>
          <w:i/>
          <w:iCs/>
        </w:rPr>
        <w:t xml:space="preserve"> </w:t>
      </w:r>
      <w:r w:rsidR="00856416">
        <w:t xml:space="preserve">Spectrum News NY1, </w:t>
      </w:r>
      <w:r w:rsidR="00EE4978">
        <w:t>(</w:t>
      </w:r>
      <w:r w:rsidR="00856416">
        <w:t xml:space="preserve">Aug. 6, 2025, 10:45 AM), </w:t>
      </w:r>
      <w:r w:rsidR="004B52BA">
        <w:t xml:space="preserve"> </w:t>
      </w:r>
      <w:r w:rsidR="004B52BA">
        <w:rPr>
          <w:i/>
        </w:rPr>
        <w:t xml:space="preserve">available at: </w:t>
      </w:r>
      <w:hyperlink r:id="rId20" w:history="1">
        <w:r w:rsidR="00856416" w:rsidRPr="00C637CB">
          <w:rPr>
            <w:rStyle w:val="Hyperlink"/>
            <w:rFonts w:ascii="Times New Roman" w:hAnsi="Times New Roman"/>
            <w:sz w:val="20"/>
            <w:szCs w:val="20"/>
          </w:rPr>
          <w:t>https://ny1.com/nyc/all-boroughs/politics/2025/08/06/carriage-horse-collapses-and-dies-in-manhattan--reigniting-ban-debate</w:t>
        </w:r>
      </w:hyperlink>
      <w:r w:rsidR="00856416">
        <w:t xml:space="preserve">. </w:t>
      </w:r>
    </w:p>
  </w:footnote>
  <w:footnote w:id="48">
    <w:p w14:paraId="20D51E7E" w14:textId="4980C985" w:rsidR="00856416" w:rsidRPr="00626569" w:rsidRDefault="00856416">
      <w:pPr>
        <w:pStyle w:val="FootnoteText"/>
        <w:rPr>
          <w:i/>
          <w:iCs/>
        </w:rPr>
      </w:pPr>
      <w:r>
        <w:rPr>
          <w:rStyle w:val="FootnoteReference"/>
        </w:rPr>
        <w:footnoteRef/>
      </w:r>
      <w:r>
        <w:t xml:space="preserve"> </w:t>
      </w:r>
      <w:r w:rsidR="008F5279">
        <w:t>Jesse Zanger</w:t>
      </w:r>
      <w:r>
        <w:t xml:space="preserve">, </w:t>
      </w:r>
      <w:r w:rsidR="00EE4978">
        <w:t>“</w:t>
      </w:r>
      <w:r w:rsidRPr="00A1795A">
        <w:rPr>
          <w:iCs/>
        </w:rPr>
        <w:t>Carriage horse that collapsed in NYC's Hell's Kitchen died of an aortic rupture, union says</w:t>
      </w:r>
      <w:r w:rsidR="00EE4978" w:rsidRPr="00A1795A">
        <w:rPr>
          <w:iCs/>
        </w:rPr>
        <w:t>”,</w:t>
      </w:r>
      <w:r>
        <w:rPr>
          <w:i/>
          <w:iCs/>
        </w:rPr>
        <w:t xml:space="preserve"> </w:t>
      </w:r>
      <w:r>
        <w:t xml:space="preserve">CBS News, </w:t>
      </w:r>
      <w:r w:rsidR="00EE4978">
        <w:t>(</w:t>
      </w:r>
      <w:r>
        <w:t>Aug. 8, 2025),</w:t>
      </w:r>
      <w:r w:rsidR="00EE4978">
        <w:t xml:space="preserve"> </w:t>
      </w:r>
      <w:r w:rsidR="00EE4978" w:rsidRPr="00A1795A">
        <w:rPr>
          <w:i/>
        </w:rPr>
        <w:t>available at</w:t>
      </w:r>
      <w:r w:rsidR="004B52BA">
        <w:rPr>
          <w:i/>
        </w:rPr>
        <w:t>:</w:t>
      </w:r>
      <w:r>
        <w:t xml:space="preserve"> </w:t>
      </w:r>
      <w:hyperlink r:id="rId21" w:history="1">
        <w:r w:rsidR="001405CB" w:rsidRPr="00A1795A">
          <w:rPr>
            <w:rStyle w:val="Hyperlink"/>
            <w:rFonts w:ascii="Times New Roman" w:hAnsi="Times New Roman"/>
            <w:iCs/>
            <w:sz w:val="20"/>
            <w:szCs w:val="20"/>
          </w:rPr>
          <w:t>https</w:t>
        </w:r>
        <w:r w:rsidR="001405CB" w:rsidRPr="00C637CB">
          <w:rPr>
            <w:rStyle w:val="Hyperlink"/>
            <w:rFonts w:ascii="Times New Roman" w:hAnsi="Times New Roman"/>
            <w:sz w:val="20"/>
            <w:szCs w:val="20"/>
          </w:rPr>
          <w:t>://www.cbsnews.com/newyork/news/nyc-hells-kitchen-carriage-horse-dies/</w:t>
        </w:r>
      </w:hyperlink>
      <w:r w:rsidR="001405CB">
        <w:t>. Animal rights advocates argued that Lady’s death was a symptom of a systemic failure to examine carriage horses for health issues, “</w:t>
      </w:r>
      <w:r w:rsidR="001405CB" w:rsidRPr="001405CB">
        <w:t>where horses are cleared without any comprehensive exams or blood work, then rubber-stamped by [the Department of Health] to be thrown onto chaotic city streets</w:t>
      </w:r>
      <w:r w:rsidR="001405CB">
        <w:t xml:space="preserve">.” </w:t>
      </w:r>
      <w:r w:rsidR="001405CB">
        <w:rPr>
          <w:i/>
          <w:iCs/>
        </w:rPr>
        <w:t>Id.</w:t>
      </w:r>
    </w:p>
  </w:footnote>
  <w:footnote w:id="49">
    <w:p w14:paraId="7DD25E5B" w14:textId="56943936" w:rsidR="006874E7" w:rsidRPr="007C59FE" w:rsidRDefault="006874E7">
      <w:pPr>
        <w:pStyle w:val="FootnoteText"/>
        <w:rPr>
          <w:b/>
          <w:bCs/>
        </w:rPr>
      </w:pPr>
      <w:r>
        <w:rPr>
          <w:rStyle w:val="FootnoteReference"/>
        </w:rPr>
        <w:footnoteRef/>
      </w:r>
      <w:r>
        <w:t xml:space="preserve"> </w:t>
      </w:r>
      <w:r w:rsidR="00BA5B48">
        <w:t>Philip Marcelo</w:t>
      </w:r>
      <w:r w:rsidR="008F5279">
        <w:t xml:space="preserve">, </w:t>
      </w:r>
      <w:r w:rsidR="00F35226">
        <w:t>“</w:t>
      </w:r>
      <w:r w:rsidR="00F35226" w:rsidRPr="00280010">
        <w:t>As bikes and strollers fill Central Park, its managers want to push horse carriages out</w:t>
      </w:r>
      <w:r w:rsidR="00F35226">
        <w:t xml:space="preserve">,” </w:t>
      </w:r>
      <w:r w:rsidR="00F35226" w:rsidRPr="00280010">
        <w:rPr>
          <w:i/>
          <w:iCs/>
        </w:rPr>
        <w:t>Associated Press</w:t>
      </w:r>
      <w:r w:rsidR="00F35226">
        <w:t xml:space="preserve">, (Aug. 23, 2025) </w:t>
      </w:r>
      <w:r w:rsidR="00F35226" w:rsidRPr="00A1795A">
        <w:rPr>
          <w:i/>
        </w:rPr>
        <w:t xml:space="preserve">available </w:t>
      </w:r>
      <w:r w:rsidR="00F35226" w:rsidRPr="001C6DFA">
        <w:t>at</w:t>
      </w:r>
      <w:r w:rsidR="00F35226">
        <w:t xml:space="preserve">: </w:t>
      </w:r>
      <w:hyperlink r:id="rId22" w:history="1">
        <w:r w:rsidR="00F35226" w:rsidRPr="00063425">
          <w:rPr>
            <w:rStyle w:val="Hyperlink"/>
            <w:rFonts w:ascii="Times New Roman" w:hAnsi="Times New Roman"/>
            <w:sz w:val="20"/>
            <w:szCs w:val="20"/>
          </w:rPr>
          <w:t>https://apnews.com/article/new-york-central-park-horse-carriage-rides-a8ff29a87ef5c41ff87694b24658013c</w:t>
        </w:r>
      </w:hyperlink>
      <w:r w:rsidR="00F35226">
        <w:t xml:space="preserve"> (last visited Jul 9, 2026).</w:t>
      </w:r>
    </w:p>
  </w:footnote>
  <w:footnote w:id="50">
    <w:p w14:paraId="06B94A13" w14:textId="268B0AB6" w:rsidR="008514E1" w:rsidRPr="007C59FE" w:rsidRDefault="008514E1">
      <w:pPr>
        <w:pStyle w:val="FootnoteText"/>
        <w:rPr>
          <w:b/>
          <w:bCs/>
        </w:rPr>
      </w:pPr>
      <w:r>
        <w:rPr>
          <w:rStyle w:val="FootnoteReference"/>
        </w:rPr>
        <w:footnoteRef/>
      </w:r>
      <w:r>
        <w:t xml:space="preserve"> </w:t>
      </w:r>
      <w:r w:rsidR="00F35226" w:rsidRPr="007C59FE">
        <w:rPr>
          <w:i/>
          <w:iCs/>
        </w:rPr>
        <w:t>Id.</w:t>
      </w:r>
    </w:p>
  </w:footnote>
  <w:footnote w:id="51">
    <w:p w14:paraId="398B714A" w14:textId="5DB94FD6" w:rsidR="00F35226" w:rsidRDefault="00F35226">
      <w:pPr>
        <w:pStyle w:val="FootnoteText"/>
      </w:pPr>
      <w:r>
        <w:rPr>
          <w:rStyle w:val="FootnoteReference"/>
        </w:rPr>
        <w:footnoteRef/>
      </w:r>
      <w:r>
        <w:t xml:space="preserve"> “</w:t>
      </w:r>
      <w:r w:rsidRPr="00280010">
        <w:t>For the First Time, Central Park Conservancy Calls for End of Horse-Drawn Carriages in the Park</w:t>
      </w:r>
      <w:r>
        <w:t xml:space="preserve">,” </w:t>
      </w:r>
      <w:r w:rsidRPr="00A1795A">
        <w:rPr>
          <w:iCs/>
        </w:rPr>
        <w:t>West Side Rag</w:t>
      </w:r>
      <w:r>
        <w:rPr>
          <w:i/>
          <w:iCs/>
        </w:rPr>
        <w:t xml:space="preserve">, </w:t>
      </w:r>
      <w:r>
        <w:t xml:space="preserve">(Aug.12, 2025) </w:t>
      </w:r>
      <w:r w:rsidRPr="00A1795A">
        <w:rPr>
          <w:i/>
        </w:rPr>
        <w:t>available at</w:t>
      </w:r>
      <w:r w:rsidR="000D58FE">
        <w:t>:</w:t>
      </w:r>
      <w:r>
        <w:t xml:space="preserve"> </w:t>
      </w:r>
      <w:hyperlink r:id="rId23" w:history="1">
        <w:r w:rsidRPr="00063425">
          <w:rPr>
            <w:rStyle w:val="Hyperlink"/>
            <w:rFonts w:ascii="Times New Roman" w:hAnsi="Times New Roman"/>
            <w:sz w:val="20"/>
            <w:szCs w:val="20"/>
          </w:rPr>
          <w:t>https://www.westsiderag.com/2025/08/12/for-the-first-time-central-park-conservancy-calls-for-end-of-horse-drawn-carriages-in-the-park</w:t>
        </w:r>
      </w:hyperlink>
      <w:r>
        <w:t xml:space="preserve"> (last visited Jul 9, 2026).</w:t>
      </w:r>
    </w:p>
  </w:footnote>
  <w:footnote w:id="52">
    <w:p w14:paraId="4AC4C1F5" w14:textId="1C1AE36F" w:rsidR="00F35226" w:rsidRDefault="00F35226">
      <w:pPr>
        <w:pStyle w:val="FootnoteText"/>
      </w:pPr>
      <w:r>
        <w:rPr>
          <w:rStyle w:val="FootnoteReference"/>
        </w:rPr>
        <w:footnoteRef/>
      </w:r>
      <w:r>
        <w:t xml:space="preserve"> </w:t>
      </w:r>
      <w:r w:rsidRPr="007C59FE">
        <w:rPr>
          <w:i/>
          <w:iCs/>
        </w:rPr>
        <w:t>Id.</w:t>
      </w:r>
    </w:p>
  </w:footnote>
  <w:footnote w:id="53">
    <w:p w14:paraId="7EF6DD44" w14:textId="51524848" w:rsidR="00A77EFA" w:rsidRPr="007C59FE" w:rsidRDefault="00A77EFA">
      <w:pPr>
        <w:pStyle w:val="FootnoteText"/>
        <w:rPr>
          <w:b/>
          <w:bCs/>
        </w:rPr>
      </w:pPr>
      <w:r>
        <w:rPr>
          <w:rStyle w:val="FootnoteReference"/>
        </w:rPr>
        <w:footnoteRef/>
      </w:r>
      <w:r>
        <w:t xml:space="preserve"> “</w:t>
      </w:r>
      <w:r w:rsidRPr="007C59FE">
        <w:t>Philadelphia Officially Says ‘Neigh’ to Horse-Drawn Carriages</w:t>
      </w:r>
      <w:r>
        <w:t>,”</w:t>
      </w:r>
      <w:r w:rsidR="00737B6E">
        <w:t xml:space="preserve"> People for the </w:t>
      </w:r>
      <w:r w:rsidR="008144FE">
        <w:t xml:space="preserve">Ethical Treatment of Animals (PETA), </w:t>
      </w:r>
      <w:r w:rsidR="008144FE" w:rsidRPr="00A1795A">
        <w:rPr>
          <w:i/>
        </w:rPr>
        <w:t>available at</w:t>
      </w:r>
      <w:r w:rsidR="008144FE" w:rsidRPr="008144FE">
        <w:t xml:space="preserve">: </w:t>
      </w:r>
      <w:hyperlink r:id="rId24" w:history="1">
        <w:r w:rsidR="008144FE" w:rsidRPr="007C59FE">
          <w:rPr>
            <w:rStyle w:val="Hyperlink"/>
            <w:rFonts w:ascii="Times New Roman" w:hAnsi="Times New Roman"/>
            <w:sz w:val="20"/>
            <w:szCs w:val="20"/>
          </w:rPr>
          <w:t>https://www.peta.org/features/horse-drawn-carriage-bans/</w:t>
        </w:r>
      </w:hyperlink>
      <w:r w:rsidR="00620960">
        <w:t>,</w:t>
      </w:r>
      <w:r w:rsidR="008144FE">
        <w:rPr>
          <w:i/>
          <w:iCs/>
        </w:rPr>
        <w:t xml:space="preserve"> </w:t>
      </w:r>
      <w:r w:rsidR="008144FE">
        <w:t>(</w:t>
      </w:r>
      <w:r w:rsidR="00620960">
        <w:t>l</w:t>
      </w:r>
      <w:r w:rsidR="008144FE">
        <w:t xml:space="preserve">ast visited </w:t>
      </w:r>
      <w:r w:rsidR="00620960">
        <w:t>July 9, 2026).</w:t>
      </w:r>
    </w:p>
  </w:footnote>
  <w:footnote w:id="54">
    <w:p w14:paraId="079FE937" w14:textId="4404E624" w:rsidR="343ACA1B" w:rsidRPr="00FA1E19" w:rsidRDefault="343ACA1B" w:rsidP="005F5494">
      <w:pPr>
        <w:spacing w:after="0" w:line="240" w:lineRule="auto"/>
        <w:rPr>
          <w:rFonts w:eastAsia="Times New Roman" w:cs="Times New Roman"/>
          <w:sz w:val="20"/>
          <w:szCs w:val="20"/>
          <w:lang w:val="fr-FR"/>
        </w:rPr>
      </w:pPr>
      <w:r w:rsidRPr="00C8569A">
        <w:rPr>
          <w:rStyle w:val="FootnoteReference"/>
          <w:rFonts w:eastAsia="Times New Roman" w:cs="Times New Roman"/>
          <w:sz w:val="20"/>
          <w:szCs w:val="20"/>
        </w:rPr>
        <w:footnoteRef/>
      </w:r>
      <w:r w:rsidR="29A81F36" w:rsidRPr="00FA1E19">
        <w:rPr>
          <w:rFonts w:eastAsia="Times New Roman" w:cs="Times New Roman"/>
          <w:sz w:val="20"/>
          <w:szCs w:val="20"/>
          <w:lang w:val="fr-FR"/>
        </w:rPr>
        <w:t xml:space="preserve"> </w:t>
      </w:r>
      <w:r w:rsidR="00F30929" w:rsidRPr="00FA1E19">
        <w:rPr>
          <w:rFonts w:eastAsia="Times New Roman" w:cs="Times New Roman"/>
          <w:sz w:val="20"/>
          <w:szCs w:val="20"/>
          <w:lang w:val="fr-FR"/>
        </w:rPr>
        <w:t>Chi. Mun. Code § 9-80-260(b).</w:t>
      </w:r>
    </w:p>
  </w:footnote>
  <w:footnote w:id="55">
    <w:p w14:paraId="01127ED9" w14:textId="17D68FA4" w:rsidR="343ACA1B" w:rsidRPr="00FA1E19" w:rsidRDefault="343ACA1B" w:rsidP="005F5494">
      <w:pPr>
        <w:spacing w:after="0" w:line="240" w:lineRule="auto"/>
        <w:rPr>
          <w:i/>
          <w:iCs/>
          <w:sz w:val="20"/>
          <w:szCs w:val="20"/>
          <w:lang w:val="fr-FR"/>
        </w:rPr>
      </w:pPr>
      <w:r w:rsidRPr="00F84AA1">
        <w:rPr>
          <w:rStyle w:val="FootnoteReference"/>
          <w:rFonts w:eastAsia="Times New Roman" w:cs="Times New Roman"/>
          <w:sz w:val="20"/>
          <w:szCs w:val="20"/>
        </w:rPr>
        <w:footnoteRef/>
      </w:r>
      <w:r w:rsidR="29A81F36" w:rsidRPr="00FA1E19">
        <w:rPr>
          <w:rFonts w:eastAsia="Times New Roman" w:cs="Times New Roman"/>
          <w:sz w:val="20"/>
          <w:szCs w:val="20"/>
          <w:lang w:val="fr-FR"/>
        </w:rPr>
        <w:t xml:space="preserve"> </w:t>
      </w:r>
      <w:r w:rsidR="29A81F36" w:rsidRPr="00FA1E19">
        <w:rPr>
          <w:rFonts w:eastAsia="Times New Roman" w:cs="Times New Roman"/>
          <w:i/>
          <w:iCs/>
          <w:sz w:val="20"/>
          <w:szCs w:val="20"/>
          <w:lang w:val="fr-FR"/>
        </w:rPr>
        <w:t>Id.</w:t>
      </w:r>
    </w:p>
  </w:footnote>
  <w:footnote w:id="56">
    <w:p w14:paraId="1096928F" w14:textId="5D7C7600" w:rsidR="343ACA1B" w:rsidRPr="00F84AA1" w:rsidRDefault="343ACA1B" w:rsidP="005F5494">
      <w:pPr>
        <w:spacing w:after="0" w:line="240" w:lineRule="auto"/>
        <w:rPr>
          <w:sz w:val="20"/>
          <w:szCs w:val="20"/>
        </w:rPr>
      </w:pPr>
      <w:r w:rsidRPr="00F84AA1">
        <w:rPr>
          <w:rStyle w:val="FootnoteReference"/>
          <w:rFonts w:eastAsia="Times New Roman" w:cs="Times New Roman"/>
          <w:sz w:val="20"/>
          <w:szCs w:val="20"/>
        </w:rPr>
        <w:footnoteRef/>
      </w:r>
      <w:r w:rsidR="00214C46">
        <w:rPr>
          <w:rFonts w:eastAsia="Times New Roman" w:cs="Times New Roman"/>
          <w:sz w:val="20"/>
          <w:szCs w:val="20"/>
        </w:rPr>
        <w:t xml:space="preserve"> </w:t>
      </w:r>
      <w:r w:rsidR="00960E17">
        <w:rPr>
          <w:rFonts w:eastAsia="Times New Roman" w:cs="Times New Roman"/>
          <w:sz w:val="20"/>
          <w:szCs w:val="20"/>
        </w:rPr>
        <w:t>Will Pavia,</w:t>
      </w:r>
      <w:r w:rsidR="29A81F36" w:rsidRPr="00F84AA1">
        <w:rPr>
          <w:rFonts w:eastAsia="Times New Roman" w:cs="Times New Roman"/>
          <w:sz w:val="20"/>
          <w:szCs w:val="20"/>
        </w:rPr>
        <w:t xml:space="preserve"> “‘Cruel’ horse-drawn carriage rides are banned in Chicago,” </w:t>
      </w:r>
      <w:r w:rsidR="29A81F36" w:rsidRPr="00A1795A">
        <w:rPr>
          <w:rFonts w:eastAsia="Times New Roman" w:cs="Times New Roman"/>
          <w:iCs/>
          <w:sz w:val="20"/>
          <w:szCs w:val="20"/>
        </w:rPr>
        <w:t>The Times</w:t>
      </w:r>
      <w:r w:rsidR="29A81F36" w:rsidRPr="009B3FE1">
        <w:rPr>
          <w:rFonts w:eastAsia="Times New Roman" w:cs="Times New Roman"/>
          <w:sz w:val="20"/>
          <w:szCs w:val="20"/>
        </w:rPr>
        <w:t>,</w:t>
      </w:r>
      <w:r w:rsidR="29A81F36" w:rsidRPr="00F84AA1">
        <w:rPr>
          <w:rFonts w:eastAsia="Times New Roman" w:cs="Times New Roman"/>
          <w:sz w:val="20"/>
          <w:szCs w:val="20"/>
        </w:rPr>
        <w:t xml:space="preserve"> (Apr. 28, 2020), </w:t>
      </w:r>
      <w:r w:rsidR="29A81F36" w:rsidRPr="00F84AA1">
        <w:rPr>
          <w:rFonts w:eastAsia="Times New Roman" w:cs="Times New Roman"/>
          <w:i/>
          <w:iCs/>
          <w:sz w:val="20"/>
          <w:szCs w:val="20"/>
        </w:rPr>
        <w:t>available at</w:t>
      </w:r>
      <w:r w:rsidR="00C86249" w:rsidRPr="00F84AA1">
        <w:rPr>
          <w:rFonts w:eastAsia="Times New Roman" w:cs="Times New Roman"/>
          <w:sz w:val="20"/>
          <w:szCs w:val="20"/>
        </w:rPr>
        <w:t>:</w:t>
      </w:r>
      <w:r w:rsidR="29A81F36" w:rsidRPr="00F84AA1">
        <w:rPr>
          <w:rFonts w:eastAsia="Times New Roman" w:cs="Times New Roman"/>
          <w:sz w:val="20"/>
          <w:szCs w:val="20"/>
        </w:rPr>
        <w:t xml:space="preserve"> </w:t>
      </w:r>
      <w:hyperlink r:id="rId25">
        <w:r w:rsidR="29A81F36" w:rsidRPr="00F84AA1">
          <w:rPr>
            <w:rStyle w:val="Hyperlink"/>
            <w:rFonts w:ascii="Times New Roman" w:eastAsia="Times New Roman" w:hAnsi="Times New Roman" w:cs="Times New Roman"/>
            <w:sz w:val="20"/>
            <w:szCs w:val="20"/>
          </w:rPr>
          <w:t>https://www.thetimes.com/world/us-world/article/cruel-horse-drawn-carriage-rides-to-be-banned-in-chicago-after-campaign-by-animal-welfare-activists-9jt9k2d76</w:t>
        </w:r>
      </w:hyperlink>
      <w:r w:rsidR="00C86249" w:rsidRPr="00F84AA1">
        <w:rPr>
          <w:sz w:val="20"/>
          <w:szCs w:val="20"/>
        </w:rPr>
        <w:t xml:space="preserve"> (last visited July 1, 2026).</w:t>
      </w:r>
    </w:p>
  </w:footnote>
  <w:footnote w:id="57">
    <w:p w14:paraId="619EA931" w14:textId="5CDF6331" w:rsidR="00AA6D45" w:rsidRPr="00E73F56" w:rsidRDefault="00AA6D45">
      <w:pPr>
        <w:pStyle w:val="FootnoteText"/>
      </w:pPr>
      <w:r>
        <w:rPr>
          <w:rStyle w:val="FootnoteReference"/>
        </w:rPr>
        <w:footnoteRef/>
      </w:r>
      <w:r>
        <w:t xml:space="preserve"> “Chicago to Ban Horse-Drawn Carriages Starting in 2021,” </w:t>
      </w:r>
      <w:r w:rsidR="00E73F56">
        <w:t xml:space="preserve">NBC Chicago, (Apr. 24, 2020), </w:t>
      </w:r>
      <w:r w:rsidR="00E73F56">
        <w:rPr>
          <w:i/>
          <w:iCs/>
        </w:rPr>
        <w:t>available at</w:t>
      </w:r>
      <w:r w:rsidR="00E73F56">
        <w:t>:</w:t>
      </w:r>
      <w:r w:rsidR="00074DE5">
        <w:t xml:space="preserve"> </w:t>
      </w:r>
      <w:hyperlink r:id="rId26" w:history="1">
        <w:r w:rsidR="00074DE5" w:rsidRPr="00DC6D12">
          <w:rPr>
            <w:rStyle w:val="Hyperlink"/>
            <w:rFonts w:ascii="Times New Roman" w:hAnsi="Times New Roman"/>
            <w:sz w:val="20"/>
            <w:szCs w:val="20"/>
          </w:rPr>
          <w:t>https://www.nbcchicago.com/news/local/chicago-to-ban-horse-drawn-carriages-starting-in-2021/2261730/</w:t>
        </w:r>
      </w:hyperlink>
      <w:r w:rsidR="00074DE5">
        <w:t xml:space="preserve"> (last visited July 10, 2026).</w:t>
      </w:r>
    </w:p>
  </w:footnote>
  <w:footnote w:id="58">
    <w:p w14:paraId="07954444" w14:textId="6CBEECF2" w:rsidR="343ACA1B" w:rsidRPr="00F84AA1" w:rsidRDefault="343ACA1B" w:rsidP="005F5494">
      <w:pPr>
        <w:spacing w:after="0" w:line="240" w:lineRule="auto"/>
        <w:rPr>
          <w:sz w:val="20"/>
          <w:szCs w:val="20"/>
        </w:rPr>
      </w:pPr>
      <w:r w:rsidRPr="00F84AA1">
        <w:rPr>
          <w:rStyle w:val="FootnoteReference"/>
          <w:rFonts w:eastAsia="Times New Roman" w:cs="Times New Roman"/>
          <w:sz w:val="20"/>
          <w:szCs w:val="20"/>
        </w:rPr>
        <w:footnoteRef/>
      </w:r>
      <w:r w:rsidR="29A81F36" w:rsidRPr="00F84AA1">
        <w:rPr>
          <w:rFonts w:eastAsia="Times New Roman" w:cs="Times New Roman"/>
          <w:sz w:val="20"/>
          <w:szCs w:val="20"/>
        </w:rPr>
        <w:t xml:space="preserve"> </w:t>
      </w:r>
      <w:r w:rsidR="00DF1509">
        <w:rPr>
          <w:rFonts w:eastAsia="Times New Roman" w:cs="Times New Roman"/>
          <w:sz w:val="20"/>
          <w:szCs w:val="20"/>
        </w:rPr>
        <w:t>Michaela Althouse,</w:t>
      </w:r>
      <w:r w:rsidR="29A81F36" w:rsidRPr="00F84AA1">
        <w:rPr>
          <w:rFonts w:eastAsia="Times New Roman" w:cs="Times New Roman"/>
          <w:sz w:val="20"/>
          <w:szCs w:val="20"/>
        </w:rPr>
        <w:t xml:space="preserve"> “Horse-drawn carriage rides, once a tourism staple in Old City, are now banned in Philly,” </w:t>
      </w:r>
      <w:r w:rsidR="29A81F36" w:rsidRPr="00F84AA1">
        <w:rPr>
          <w:rFonts w:eastAsia="Times New Roman" w:cs="Times New Roman"/>
          <w:i/>
          <w:iCs/>
          <w:sz w:val="20"/>
          <w:szCs w:val="20"/>
        </w:rPr>
        <w:t>PhillyVoice</w:t>
      </w:r>
      <w:r w:rsidR="29A81F36" w:rsidRPr="00F84AA1">
        <w:rPr>
          <w:rFonts w:eastAsia="Times New Roman" w:cs="Times New Roman"/>
          <w:sz w:val="20"/>
          <w:szCs w:val="20"/>
        </w:rPr>
        <w:t xml:space="preserve">, (June 12, 2026), </w:t>
      </w:r>
      <w:r w:rsidR="29A81F36" w:rsidRPr="00B32E80">
        <w:rPr>
          <w:rFonts w:eastAsia="Times New Roman" w:cs="Times New Roman"/>
          <w:i/>
          <w:iCs/>
          <w:sz w:val="20"/>
          <w:szCs w:val="20"/>
        </w:rPr>
        <w:t>available at</w:t>
      </w:r>
      <w:r w:rsidR="00B32E80">
        <w:rPr>
          <w:rFonts w:eastAsia="Times New Roman" w:cs="Times New Roman"/>
          <w:sz w:val="20"/>
          <w:szCs w:val="20"/>
        </w:rPr>
        <w:t>:</w:t>
      </w:r>
      <w:r w:rsidR="29A81F36" w:rsidRPr="00F84AA1">
        <w:rPr>
          <w:rFonts w:eastAsia="Times New Roman" w:cs="Times New Roman"/>
          <w:sz w:val="20"/>
          <w:szCs w:val="20"/>
        </w:rPr>
        <w:t xml:space="preserve"> </w:t>
      </w:r>
      <w:hyperlink r:id="rId27">
        <w:r w:rsidR="29A81F36" w:rsidRPr="00F84AA1">
          <w:rPr>
            <w:rStyle w:val="Hyperlink"/>
            <w:rFonts w:ascii="Times New Roman" w:eastAsia="Times New Roman" w:hAnsi="Times New Roman" w:cs="Times New Roman"/>
            <w:sz w:val="20"/>
            <w:szCs w:val="20"/>
          </w:rPr>
          <w:t>https://www.phillyvoice.com/philadelphia-horse-carriage-ride-ban/</w:t>
        </w:r>
      </w:hyperlink>
      <w:r w:rsidR="0022157F">
        <w:rPr>
          <w:sz w:val="20"/>
          <w:szCs w:val="20"/>
        </w:rPr>
        <w:t xml:space="preserve"> (last visited July 1, 2026).</w:t>
      </w:r>
    </w:p>
  </w:footnote>
  <w:footnote w:id="59">
    <w:p w14:paraId="2B1E0E3E" w14:textId="3BEA5440" w:rsidR="00A2682F" w:rsidRPr="007C59FE" w:rsidRDefault="00A2682F" w:rsidP="00A2682F">
      <w:pPr>
        <w:spacing w:after="0" w:line="240" w:lineRule="auto"/>
        <w:rPr>
          <w:rFonts w:eastAsia="Times New Roman" w:cs="Times New Roman"/>
          <w:sz w:val="20"/>
          <w:szCs w:val="20"/>
        </w:rPr>
      </w:pPr>
      <w:r w:rsidRPr="00F84AA1">
        <w:rPr>
          <w:rStyle w:val="FootnoteReference"/>
          <w:rFonts w:eastAsia="Times New Roman" w:cs="Times New Roman"/>
          <w:sz w:val="20"/>
          <w:szCs w:val="20"/>
        </w:rPr>
        <w:footnoteRef/>
      </w:r>
      <w:r w:rsidR="0077309F">
        <w:rPr>
          <w:rFonts w:eastAsia="Times New Roman" w:cs="Times New Roman"/>
          <w:sz w:val="20"/>
          <w:szCs w:val="20"/>
        </w:rPr>
        <w:t xml:space="preserve"> </w:t>
      </w:r>
      <w:r w:rsidR="00E41CC5" w:rsidRPr="00E41CC5">
        <w:rPr>
          <w:rFonts w:eastAsia="Times New Roman" w:cs="Times New Roman"/>
          <w:sz w:val="20"/>
          <w:szCs w:val="20"/>
        </w:rPr>
        <w:t>Phila. Code § 10-108.3(1).</w:t>
      </w:r>
    </w:p>
  </w:footnote>
  <w:footnote w:id="60">
    <w:p w14:paraId="62BBC6B0" w14:textId="74048714" w:rsidR="343ACA1B" w:rsidRPr="00F84AA1" w:rsidRDefault="343ACA1B" w:rsidP="005F5494">
      <w:pPr>
        <w:spacing w:after="0" w:line="240" w:lineRule="auto"/>
        <w:rPr>
          <w:sz w:val="20"/>
          <w:szCs w:val="20"/>
        </w:rPr>
      </w:pPr>
      <w:r w:rsidRPr="00F84AA1">
        <w:rPr>
          <w:rStyle w:val="FootnoteReference"/>
          <w:rFonts w:eastAsia="Times New Roman" w:cs="Times New Roman"/>
          <w:sz w:val="20"/>
          <w:szCs w:val="20"/>
        </w:rPr>
        <w:footnoteRef/>
      </w:r>
      <w:r w:rsidR="29A81F36" w:rsidRPr="00F84AA1">
        <w:rPr>
          <w:rFonts w:eastAsia="Times New Roman" w:cs="Times New Roman"/>
          <w:sz w:val="20"/>
          <w:szCs w:val="20"/>
        </w:rPr>
        <w:t xml:space="preserve"> </w:t>
      </w:r>
      <w:r w:rsidR="0024040B">
        <w:rPr>
          <w:rFonts w:eastAsia="Times New Roman" w:cs="Times New Roman"/>
          <w:sz w:val="20"/>
          <w:szCs w:val="20"/>
        </w:rPr>
        <w:t>Eva Anderson,</w:t>
      </w:r>
      <w:r w:rsidR="29A81F36" w:rsidRPr="00F84AA1">
        <w:rPr>
          <w:rFonts w:eastAsia="Times New Roman" w:cs="Times New Roman"/>
          <w:sz w:val="20"/>
          <w:szCs w:val="20"/>
        </w:rPr>
        <w:t xml:space="preserve"> “Electric, horseless carriages take a test run in Philadelphia's Queen Village neighborhood,” </w:t>
      </w:r>
      <w:r w:rsidR="29A81F36" w:rsidRPr="00A1795A">
        <w:rPr>
          <w:rFonts w:eastAsia="Times New Roman" w:cs="Times New Roman"/>
          <w:iCs/>
          <w:sz w:val="20"/>
          <w:szCs w:val="20"/>
        </w:rPr>
        <w:t>CBS News</w:t>
      </w:r>
      <w:r w:rsidR="29A81F36" w:rsidRPr="001C6DFA">
        <w:rPr>
          <w:rFonts w:eastAsia="Times New Roman" w:cs="Times New Roman"/>
          <w:sz w:val="20"/>
          <w:szCs w:val="20"/>
        </w:rPr>
        <w:t>,</w:t>
      </w:r>
      <w:r w:rsidR="29A81F36" w:rsidRPr="00F84AA1">
        <w:rPr>
          <w:rFonts w:eastAsia="Times New Roman" w:cs="Times New Roman"/>
          <w:sz w:val="20"/>
          <w:szCs w:val="20"/>
        </w:rPr>
        <w:t xml:space="preserve"> (Apr. 14, 2024), </w:t>
      </w:r>
      <w:r w:rsidR="29A81F36" w:rsidRPr="00B32E80">
        <w:rPr>
          <w:rFonts w:eastAsia="Times New Roman" w:cs="Times New Roman"/>
          <w:i/>
          <w:iCs/>
          <w:sz w:val="20"/>
          <w:szCs w:val="20"/>
        </w:rPr>
        <w:t>available at</w:t>
      </w:r>
      <w:r w:rsidR="00B32E80">
        <w:rPr>
          <w:rFonts w:eastAsia="Times New Roman" w:cs="Times New Roman"/>
          <w:sz w:val="20"/>
          <w:szCs w:val="20"/>
        </w:rPr>
        <w:t>:</w:t>
      </w:r>
      <w:r w:rsidR="29A81F36" w:rsidRPr="00F84AA1">
        <w:rPr>
          <w:rFonts w:eastAsia="Times New Roman" w:cs="Times New Roman"/>
          <w:sz w:val="20"/>
          <w:szCs w:val="20"/>
        </w:rPr>
        <w:t xml:space="preserve"> </w:t>
      </w:r>
      <w:hyperlink r:id="rId28">
        <w:r w:rsidR="29A81F36" w:rsidRPr="00F84AA1">
          <w:rPr>
            <w:rStyle w:val="Hyperlink"/>
            <w:rFonts w:ascii="Times New Roman" w:eastAsia="Times New Roman" w:hAnsi="Times New Roman" w:cs="Times New Roman"/>
            <w:sz w:val="20"/>
            <w:szCs w:val="20"/>
          </w:rPr>
          <w:t>https://www.cbsnews.com/philadelphia/news/electric-horseless-carriages-philadelphia-queen-village-animal-advocacy/</w:t>
        </w:r>
      </w:hyperlink>
      <w:r w:rsidR="0024040B">
        <w:rPr>
          <w:sz w:val="20"/>
          <w:szCs w:val="20"/>
        </w:rPr>
        <w:t xml:space="preserve"> (last visited July 1, 2026).</w:t>
      </w:r>
    </w:p>
  </w:footnote>
  <w:footnote w:id="61">
    <w:p w14:paraId="6103F1CC" w14:textId="65CFB1EC" w:rsidR="343ACA1B" w:rsidRPr="00E37395" w:rsidRDefault="343ACA1B" w:rsidP="005F5494">
      <w:pPr>
        <w:spacing w:after="0" w:line="240" w:lineRule="auto"/>
        <w:rPr>
          <w:sz w:val="20"/>
          <w:szCs w:val="20"/>
        </w:rPr>
      </w:pPr>
      <w:r w:rsidRPr="00F84AA1">
        <w:rPr>
          <w:rStyle w:val="FootnoteReference"/>
          <w:rFonts w:eastAsia="Times New Roman" w:cs="Times New Roman"/>
          <w:sz w:val="20"/>
          <w:szCs w:val="20"/>
        </w:rPr>
        <w:footnoteRef/>
      </w:r>
      <w:r w:rsidR="65B137A4" w:rsidRPr="00F84AA1">
        <w:rPr>
          <w:rFonts w:eastAsia="Times New Roman" w:cs="Times New Roman"/>
          <w:sz w:val="20"/>
          <w:szCs w:val="20"/>
        </w:rPr>
        <w:t xml:space="preserve"> </w:t>
      </w:r>
      <w:r w:rsidR="00A9496E" w:rsidRPr="00A9496E">
        <w:rPr>
          <w:rFonts w:eastAsia="Times New Roman" w:cs="Times New Roman"/>
          <w:sz w:val="20"/>
          <w:szCs w:val="20"/>
        </w:rPr>
        <w:t xml:space="preserve">San Antonio Ordinance </w:t>
      </w:r>
      <w:r w:rsidR="00E37395" w:rsidRPr="00E37395">
        <w:rPr>
          <w:rFonts w:eastAsia="Times New Roman" w:cs="Times New Roman"/>
          <w:sz w:val="20"/>
          <w:szCs w:val="20"/>
        </w:rPr>
        <w:t>2024-12-12-0998</w:t>
      </w:r>
      <w:r w:rsidR="00E37395">
        <w:rPr>
          <w:rFonts w:eastAsia="Times New Roman" w:cs="Times New Roman"/>
          <w:sz w:val="20"/>
          <w:szCs w:val="20"/>
        </w:rPr>
        <w:t xml:space="preserve">, </w:t>
      </w:r>
      <w:r w:rsidR="00E37395">
        <w:rPr>
          <w:rFonts w:eastAsia="Times New Roman" w:cs="Times New Roman"/>
          <w:i/>
          <w:iCs/>
          <w:sz w:val="20"/>
          <w:szCs w:val="20"/>
        </w:rPr>
        <w:t>available at</w:t>
      </w:r>
      <w:r w:rsidR="001C6DFA">
        <w:rPr>
          <w:rFonts w:eastAsia="Times New Roman" w:cs="Times New Roman"/>
          <w:i/>
          <w:iCs/>
          <w:sz w:val="20"/>
          <w:szCs w:val="20"/>
        </w:rPr>
        <w:t>:</w:t>
      </w:r>
      <w:r w:rsidR="00E37395">
        <w:rPr>
          <w:rFonts w:eastAsia="Times New Roman" w:cs="Times New Roman"/>
          <w:i/>
          <w:iCs/>
          <w:sz w:val="20"/>
          <w:szCs w:val="20"/>
        </w:rPr>
        <w:t xml:space="preserve"> </w:t>
      </w:r>
      <w:hyperlink r:id="rId29" w:history="1">
        <w:r w:rsidR="00E37395" w:rsidRPr="00626569">
          <w:rPr>
            <w:rStyle w:val="Hyperlink"/>
            <w:rFonts w:ascii="Times New Roman" w:eastAsia="Times New Roman" w:hAnsi="Times New Roman" w:cs="Times New Roman"/>
            <w:sz w:val="20"/>
            <w:szCs w:val="20"/>
          </w:rPr>
          <w:t>https://library.municode.com/tx/san_antonio/ordinances/code_of_ordinances?nodeId=1337569</w:t>
        </w:r>
      </w:hyperlink>
      <w:r w:rsidR="00E37395">
        <w:rPr>
          <w:rFonts w:eastAsia="Times New Roman" w:cs="Times New Roman"/>
          <w:sz w:val="20"/>
          <w:szCs w:val="20"/>
        </w:rPr>
        <w:t xml:space="preserve"> (last visited Jul. 9, 2026).</w:t>
      </w:r>
    </w:p>
  </w:footnote>
  <w:footnote w:id="62">
    <w:p w14:paraId="7E6EDED4" w14:textId="33E74D97" w:rsidR="343ACA1B" w:rsidRPr="00F84AA1" w:rsidRDefault="343ACA1B" w:rsidP="005F5494">
      <w:pPr>
        <w:spacing w:after="0" w:line="240" w:lineRule="auto"/>
        <w:rPr>
          <w:i/>
          <w:iCs/>
          <w:sz w:val="20"/>
          <w:szCs w:val="20"/>
        </w:rPr>
      </w:pPr>
      <w:r w:rsidRPr="00F84AA1">
        <w:rPr>
          <w:rStyle w:val="FootnoteReference"/>
          <w:rFonts w:eastAsia="Times New Roman" w:cs="Times New Roman"/>
          <w:sz w:val="20"/>
          <w:szCs w:val="20"/>
        </w:rPr>
        <w:footnoteRef/>
      </w:r>
      <w:r w:rsidR="29A81F36" w:rsidRPr="00F84AA1">
        <w:rPr>
          <w:rFonts w:eastAsia="Times New Roman" w:cs="Times New Roman"/>
          <w:sz w:val="20"/>
          <w:szCs w:val="20"/>
        </w:rPr>
        <w:t xml:space="preserve"> </w:t>
      </w:r>
      <w:r w:rsidR="29A81F36" w:rsidRPr="00F84AA1">
        <w:rPr>
          <w:rFonts w:eastAsia="Times New Roman" w:cs="Times New Roman"/>
          <w:i/>
          <w:iCs/>
          <w:sz w:val="20"/>
          <w:szCs w:val="20"/>
        </w:rPr>
        <w:t>Id.</w:t>
      </w:r>
    </w:p>
  </w:footnote>
  <w:footnote w:id="63">
    <w:p w14:paraId="2036894E" w14:textId="669DB625" w:rsidR="343ACA1B" w:rsidRPr="00F84AA1" w:rsidRDefault="343ACA1B" w:rsidP="005F5494">
      <w:pPr>
        <w:spacing w:after="0" w:line="240" w:lineRule="auto"/>
        <w:rPr>
          <w:i/>
          <w:iCs/>
          <w:sz w:val="20"/>
          <w:szCs w:val="20"/>
        </w:rPr>
      </w:pPr>
      <w:r w:rsidRPr="00F84AA1">
        <w:rPr>
          <w:rStyle w:val="FootnoteReference"/>
          <w:rFonts w:eastAsia="Times New Roman" w:cs="Times New Roman"/>
          <w:sz w:val="20"/>
          <w:szCs w:val="20"/>
        </w:rPr>
        <w:footnoteRef/>
      </w:r>
      <w:r w:rsidR="29A81F36" w:rsidRPr="00F84AA1">
        <w:rPr>
          <w:rFonts w:eastAsia="Times New Roman" w:cs="Times New Roman"/>
          <w:sz w:val="20"/>
          <w:szCs w:val="20"/>
        </w:rPr>
        <w:t xml:space="preserve"> </w:t>
      </w:r>
      <w:r w:rsidR="29A81F36" w:rsidRPr="00F84AA1">
        <w:rPr>
          <w:rFonts w:eastAsia="Times New Roman" w:cs="Times New Roman"/>
          <w:i/>
          <w:iCs/>
          <w:sz w:val="20"/>
          <w:szCs w:val="20"/>
        </w:rPr>
        <w:t>Id.</w:t>
      </w:r>
    </w:p>
  </w:footnote>
  <w:footnote w:id="64">
    <w:p w14:paraId="18C26277" w14:textId="3D730D46" w:rsidR="343ACA1B" w:rsidRPr="00F84AA1" w:rsidRDefault="343ACA1B" w:rsidP="005F5494">
      <w:pPr>
        <w:spacing w:after="0" w:line="240" w:lineRule="auto"/>
        <w:rPr>
          <w:sz w:val="20"/>
          <w:szCs w:val="20"/>
        </w:rPr>
      </w:pPr>
      <w:r w:rsidRPr="00F84AA1">
        <w:rPr>
          <w:rStyle w:val="FootnoteReference"/>
          <w:rFonts w:eastAsia="Times New Roman" w:cs="Times New Roman"/>
          <w:sz w:val="20"/>
          <w:szCs w:val="20"/>
        </w:rPr>
        <w:footnoteRef/>
      </w:r>
      <w:r w:rsidR="29A81F36" w:rsidRPr="00F84AA1">
        <w:rPr>
          <w:rFonts w:eastAsia="Times New Roman" w:cs="Times New Roman"/>
          <w:sz w:val="20"/>
          <w:szCs w:val="20"/>
        </w:rPr>
        <w:t xml:space="preserve"> </w:t>
      </w:r>
      <w:r w:rsidR="29A81F36" w:rsidRPr="00F84AA1">
        <w:rPr>
          <w:rFonts w:eastAsia="Times New Roman" w:cs="Times New Roman"/>
          <w:i/>
          <w:iCs/>
          <w:sz w:val="20"/>
          <w:szCs w:val="20"/>
        </w:rPr>
        <w:t>Id.</w:t>
      </w:r>
      <w:r w:rsidR="29A81F36" w:rsidRPr="00F84AA1">
        <w:rPr>
          <w:rFonts w:eastAsia="Times New Roman" w:cs="Times New Roman"/>
          <w:sz w:val="20"/>
          <w:szCs w:val="20"/>
        </w:rPr>
        <w:t>; San Antonio Ready to Work</w:t>
      </w:r>
      <w:r w:rsidR="00C86F24">
        <w:rPr>
          <w:rFonts w:eastAsia="Times New Roman" w:cs="Times New Roman"/>
          <w:sz w:val="20"/>
          <w:szCs w:val="20"/>
        </w:rPr>
        <w:t>,</w:t>
      </w:r>
      <w:r w:rsidR="29A81F36" w:rsidRPr="00F84AA1">
        <w:rPr>
          <w:rFonts w:eastAsia="Times New Roman" w:cs="Times New Roman"/>
          <w:sz w:val="20"/>
          <w:szCs w:val="20"/>
        </w:rPr>
        <w:t xml:space="preserve"> “How it Works,” </w:t>
      </w:r>
      <w:r w:rsidR="29A81F36" w:rsidRPr="001567AD">
        <w:rPr>
          <w:rFonts w:eastAsia="Times New Roman" w:cs="Times New Roman"/>
          <w:i/>
          <w:iCs/>
          <w:sz w:val="20"/>
          <w:szCs w:val="20"/>
        </w:rPr>
        <w:t>available at</w:t>
      </w:r>
      <w:r w:rsidR="001567AD">
        <w:rPr>
          <w:rFonts w:eastAsia="Times New Roman" w:cs="Times New Roman"/>
          <w:sz w:val="20"/>
          <w:szCs w:val="20"/>
        </w:rPr>
        <w:t>:</w:t>
      </w:r>
      <w:r w:rsidR="29A81F36" w:rsidRPr="00F84AA1">
        <w:rPr>
          <w:rFonts w:eastAsia="Times New Roman" w:cs="Times New Roman"/>
          <w:sz w:val="20"/>
          <w:szCs w:val="20"/>
        </w:rPr>
        <w:t xml:space="preserve"> </w:t>
      </w:r>
      <w:hyperlink r:id="rId30">
        <w:r w:rsidR="29A81F36" w:rsidRPr="00F84AA1">
          <w:rPr>
            <w:rStyle w:val="Hyperlink"/>
            <w:rFonts w:ascii="Times New Roman" w:eastAsia="Times New Roman" w:hAnsi="Times New Roman" w:cs="Times New Roman"/>
            <w:sz w:val="20"/>
            <w:szCs w:val="20"/>
          </w:rPr>
          <w:t>https://readytoworksa.com/</w:t>
        </w:r>
      </w:hyperlink>
      <w:r w:rsidR="001567AD">
        <w:rPr>
          <w:rFonts w:eastAsia="Times New Roman" w:cs="Times New Roman"/>
          <w:sz w:val="20"/>
          <w:szCs w:val="20"/>
        </w:rPr>
        <w:t xml:space="preserve"> (last visited July 1, 2026).</w:t>
      </w:r>
    </w:p>
  </w:footnote>
  <w:footnote w:id="65">
    <w:p w14:paraId="39CD5B20" w14:textId="340869AA" w:rsidR="00757754" w:rsidRPr="00C579CD" w:rsidRDefault="00757754">
      <w:pPr>
        <w:pStyle w:val="FootnoteText"/>
      </w:pPr>
      <w:r>
        <w:rPr>
          <w:rStyle w:val="FootnoteReference"/>
        </w:rPr>
        <w:footnoteRef/>
      </w:r>
      <w:r w:rsidRPr="00757754">
        <w:t xml:space="preserve"> </w:t>
      </w:r>
      <w:r w:rsidRPr="00933352">
        <w:rPr>
          <w:i/>
          <w:iCs/>
        </w:rPr>
        <w:t>See</w:t>
      </w:r>
      <w:r>
        <w:rPr>
          <w:i/>
          <w:iCs/>
        </w:rPr>
        <w:t xml:space="preserve"> generally</w:t>
      </w:r>
      <w:r w:rsidRPr="00933352">
        <w:rPr>
          <w:i/>
          <w:iCs/>
        </w:rPr>
        <w:t xml:space="preserve"> </w:t>
      </w:r>
      <w:r>
        <w:t xml:space="preserve">Admin. </w:t>
      </w:r>
      <w:r w:rsidRPr="00FA1E19">
        <w:t xml:space="preserve">Code </w:t>
      </w:r>
      <w:r w:rsidRPr="00FA1E19">
        <w:rPr>
          <w:bCs/>
          <w:szCs w:val="24"/>
        </w:rPr>
        <w:t xml:space="preserve">§ 17-326 </w:t>
      </w:r>
      <w:r w:rsidRPr="00FA1E19">
        <w:rPr>
          <w:bCs/>
          <w:i/>
          <w:iCs/>
          <w:szCs w:val="24"/>
        </w:rPr>
        <w:t>et seq.</w:t>
      </w:r>
      <w:r w:rsidRPr="00FA1E19">
        <w:rPr>
          <w:bCs/>
          <w:szCs w:val="24"/>
        </w:rPr>
        <w:t xml:space="preserve">, § 20-377 </w:t>
      </w:r>
      <w:r w:rsidRPr="00FA1E19">
        <w:rPr>
          <w:bCs/>
          <w:i/>
          <w:iCs/>
          <w:szCs w:val="24"/>
        </w:rPr>
        <w:t>et seq.</w:t>
      </w:r>
      <w:r w:rsidRPr="00FA1E19">
        <w:rPr>
          <w:bCs/>
          <w:szCs w:val="24"/>
        </w:rPr>
        <w:t xml:space="preserve">, N.Y. Agric. </w:t>
      </w:r>
      <w:r w:rsidRPr="00757754">
        <w:rPr>
          <w:bCs/>
          <w:szCs w:val="24"/>
        </w:rPr>
        <w:t>&amp; Mkts. Law §§ 353–361</w:t>
      </w:r>
      <w:r>
        <w:rPr>
          <w:bCs/>
          <w:szCs w:val="24"/>
        </w:rPr>
        <w:t>.</w:t>
      </w:r>
    </w:p>
  </w:footnote>
  <w:footnote w:id="66">
    <w:p w14:paraId="724C14B2" w14:textId="40B45709" w:rsidR="005D2B79" w:rsidRPr="005D2B79" w:rsidRDefault="005D2B79">
      <w:pPr>
        <w:pStyle w:val="FootnoteText"/>
      </w:pPr>
      <w:r>
        <w:rPr>
          <w:rStyle w:val="FootnoteReference"/>
        </w:rPr>
        <w:footnoteRef/>
      </w:r>
      <w:r>
        <w:t xml:space="preserve"> </w:t>
      </w:r>
      <w:r>
        <w:rPr>
          <w:i/>
          <w:iCs/>
        </w:rPr>
        <w:t>Id.</w:t>
      </w:r>
    </w:p>
  </w:footnote>
  <w:footnote w:id="67">
    <w:p w14:paraId="7FBEF359" w14:textId="4D44B46D" w:rsidR="0059278C" w:rsidRPr="00FA1E19" w:rsidRDefault="0059278C">
      <w:pPr>
        <w:pStyle w:val="FootnoteText"/>
        <w:rPr>
          <w:lang w:val="fr-FR"/>
        </w:rPr>
      </w:pPr>
      <w:r>
        <w:rPr>
          <w:rStyle w:val="FootnoteReference"/>
        </w:rPr>
        <w:footnoteRef/>
      </w:r>
      <w:r>
        <w:t xml:space="preserve"> </w:t>
      </w:r>
      <w:r w:rsidRPr="00933352">
        <w:rPr>
          <w:i/>
          <w:iCs/>
        </w:rPr>
        <w:t>See</w:t>
      </w:r>
      <w:r>
        <w:rPr>
          <w:i/>
          <w:iCs/>
        </w:rPr>
        <w:t xml:space="preserve"> </w:t>
      </w:r>
      <w:r>
        <w:t xml:space="preserve">Admin. </w:t>
      </w:r>
      <w:r w:rsidRPr="00933352">
        <w:rPr>
          <w:lang w:val="fr-FR"/>
        </w:rPr>
        <w:t>Code</w:t>
      </w:r>
      <w:r w:rsidRPr="00757754">
        <w:rPr>
          <w:bCs/>
          <w:szCs w:val="24"/>
          <w:lang w:val="fr-FR"/>
        </w:rPr>
        <w:t xml:space="preserve"> § 17-326 </w:t>
      </w:r>
      <w:r w:rsidRPr="00757754">
        <w:rPr>
          <w:bCs/>
          <w:i/>
          <w:iCs/>
          <w:szCs w:val="24"/>
          <w:lang w:val="fr-FR"/>
        </w:rPr>
        <w:t>e</w:t>
      </w:r>
      <w:r w:rsidRPr="00933352">
        <w:rPr>
          <w:bCs/>
          <w:i/>
          <w:iCs/>
          <w:szCs w:val="24"/>
          <w:lang w:val="fr-FR"/>
        </w:rPr>
        <w:t>t seq.</w:t>
      </w:r>
      <w:r w:rsidRPr="00933352">
        <w:rPr>
          <w:bCs/>
          <w:szCs w:val="24"/>
          <w:lang w:val="fr-FR"/>
        </w:rPr>
        <w:t xml:space="preserve">, </w:t>
      </w:r>
      <w:r w:rsidRPr="00E77799">
        <w:rPr>
          <w:bCs/>
          <w:szCs w:val="24"/>
          <w:lang w:val="fr-FR"/>
        </w:rPr>
        <w:t>§</w:t>
      </w:r>
      <w:r>
        <w:rPr>
          <w:bCs/>
          <w:szCs w:val="24"/>
          <w:lang w:val="fr-FR"/>
        </w:rPr>
        <w:t xml:space="preserve"> 20-377 </w:t>
      </w:r>
      <w:r>
        <w:rPr>
          <w:bCs/>
          <w:i/>
          <w:iCs/>
          <w:szCs w:val="24"/>
          <w:lang w:val="fr-FR"/>
        </w:rPr>
        <w:t>et seq.</w:t>
      </w:r>
    </w:p>
  </w:footnote>
  <w:footnote w:id="68">
    <w:p w14:paraId="17D1947F" w14:textId="792474BF" w:rsidR="00751AD7" w:rsidRDefault="00751AD7">
      <w:pPr>
        <w:pStyle w:val="FootnoteText"/>
      </w:pPr>
      <w:r>
        <w:rPr>
          <w:rStyle w:val="FootnoteReference"/>
        </w:rPr>
        <w:footnoteRef/>
      </w:r>
      <w:r>
        <w:t xml:space="preserve"> </w:t>
      </w:r>
      <w:r w:rsidR="00DF7568">
        <w:t>Admin. Code §</w:t>
      </w:r>
      <w:r w:rsidR="00430795">
        <w:t>§ 17-327, 20-373,</w:t>
      </w:r>
      <w:r w:rsidR="00DF7568">
        <w:t xml:space="preserve"> 20-381</w:t>
      </w:r>
      <w:r w:rsidR="0062439F">
        <w:t>.</w:t>
      </w:r>
    </w:p>
  </w:footnote>
  <w:footnote w:id="69">
    <w:p w14:paraId="515F12E7" w14:textId="073B73DD" w:rsidR="00540F44" w:rsidRDefault="00540F44" w:rsidP="00540F44">
      <w:pPr>
        <w:pStyle w:val="FootnoteText"/>
      </w:pPr>
      <w:r>
        <w:rPr>
          <w:rStyle w:val="FootnoteReference"/>
        </w:rPr>
        <w:footnoteRef/>
      </w:r>
      <w:r>
        <w:t xml:space="preserve"> </w:t>
      </w:r>
      <w:r w:rsidRPr="00FE76AB">
        <w:rPr>
          <w:bCs/>
          <w:i/>
          <w:iCs/>
          <w:szCs w:val="24"/>
        </w:rPr>
        <w:t xml:space="preserve">See </w:t>
      </w:r>
      <w:r w:rsidRPr="00FE76AB">
        <w:rPr>
          <w:bCs/>
          <w:szCs w:val="24"/>
        </w:rPr>
        <w:t>N.Y. Agric. &amp; Mkts. Law §§ 353–361.</w:t>
      </w:r>
    </w:p>
  </w:footnote>
  <w:footnote w:id="70">
    <w:p w14:paraId="4765105E" w14:textId="77777777" w:rsidR="00540F44" w:rsidRPr="00FE76AB" w:rsidRDefault="00540F44" w:rsidP="00540F44">
      <w:pPr>
        <w:pStyle w:val="FootnoteText"/>
      </w:pPr>
      <w:r>
        <w:rPr>
          <w:rStyle w:val="FootnoteReference"/>
        </w:rPr>
        <w:footnoteRef/>
      </w:r>
      <w:r>
        <w:t xml:space="preserve"> </w:t>
      </w:r>
      <w:r>
        <w:rPr>
          <w:i/>
          <w:iCs/>
        </w:rPr>
        <w:t>Id.</w:t>
      </w:r>
    </w:p>
  </w:footnote>
  <w:footnote w:id="71">
    <w:p w14:paraId="50C2792F" w14:textId="4D320F1C" w:rsidR="00B50C77" w:rsidRPr="00FA1E19" w:rsidRDefault="00B50C77">
      <w:pPr>
        <w:pStyle w:val="FootnoteText"/>
        <w:rPr>
          <w:lang w:val="fr-FR"/>
        </w:rPr>
      </w:pPr>
      <w:r>
        <w:rPr>
          <w:rStyle w:val="FootnoteReference"/>
        </w:rPr>
        <w:footnoteRef/>
      </w:r>
      <w:r>
        <w:t xml:space="preserve"> Admin. </w:t>
      </w:r>
      <w:r w:rsidRPr="00FA1E19">
        <w:rPr>
          <w:lang w:val="fr-FR"/>
        </w:rPr>
        <w:t xml:space="preserve">Code § 17-326 </w:t>
      </w:r>
      <w:r w:rsidRPr="00FA1E19">
        <w:rPr>
          <w:i/>
          <w:iCs/>
          <w:lang w:val="fr-FR"/>
        </w:rPr>
        <w:t>et seq.</w:t>
      </w:r>
    </w:p>
  </w:footnote>
  <w:footnote w:id="72">
    <w:p w14:paraId="52EC5A4F" w14:textId="77777777" w:rsidR="00C579CD" w:rsidRPr="00FA1E19" w:rsidRDefault="00C579CD" w:rsidP="00C579CD">
      <w:pPr>
        <w:pStyle w:val="FootnoteText"/>
        <w:rPr>
          <w:lang w:val="fr-FR"/>
        </w:rPr>
      </w:pPr>
      <w:r>
        <w:rPr>
          <w:rStyle w:val="FootnoteReference"/>
        </w:rPr>
        <w:footnoteRef/>
      </w:r>
      <w:r w:rsidRPr="00FA1E19">
        <w:rPr>
          <w:lang w:val="fr-FR"/>
        </w:rPr>
        <w:t xml:space="preserve"> </w:t>
      </w:r>
      <w:r w:rsidRPr="00FA1E19">
        <w:rPr>
          <w:bCs/>
          <w:szCs w:val="24"/>
          <w:lang w:val="fr-FR"/>
        </w:rPr>
        <w:t>N.Y.C. Admin. Code §§ 17-326, 17-327, 17-328, 17-329.</w:t>
      </w:r>
    </w:p>
  </w:footnote>
  <w:footnote w:id="73">
    <w:p w14:paraId="6224D8B0" w14:textId="298A3335" w:rsidR="00C579CD" w:rsidRPr="00C579CD" w:rsidRDefault="00C579CD">
      <w:pPr>
        <w:pStyle w:val="FootnoteText"/>
        <w:rPr>
          <w:lang w:val="fr-FR"/>
        </w:rPr>
      </w:pPr>
      <w:r>
        <w:rPr>
          <w:rStyle w:val="FootnoteReference"/>
        </w:rPr>
        <w:footnoteRef/>
      </w:r>
      <w:r w:rsidRPr="00C579CD">
        <w:rPr>
          <w:lang w:val="fr-FR"/>
        </w:rPr>
        <w:t xml:space="preserve"> </w:t>
      </w:r>
      <w:r>
        <w:rPr>
          <w:lang w:val="fr-FR"/>
        </w:rPr>
        <w:t xml:space="preserve">N.Y.C. </w:t>
      </w:r>
      <w:r w:rsidRPr="00C579CD">
        <w:rPr>
          <w:lang w:val="fr-FR"/>
        </w:rPr>
        <w:t>Admin. Code §§ 17-331–17-332.</w:t>
      </w:r>
    </w:p>
  </w:footnote>
  <w:footnote w:id="74">
    <w:p w14:paraId="5CC1F909" w14:textId="72934EEF" w:rsidR="00C579CD" w:rsidRPr="00FA1E19" w:rsidRDefault="00C579CD">
      <w:pPr>
        <w:pStyle w:val="FootnoteText"/>
        <w:rPr>
          <w:lang w:val="fr-FR"/>
        </w:rPr>
      </w:pPr>
      <w:r>
        <w:rPr>
          <w:rStyle w:val="FootnoteReference"/>
        </w:rPr>
        <w:footnoteRef/>
      </w:r>
      <w:r w:rsidRPr="00FA1E19">
        <w:rPr>
          <w:lang w:val="fr-FR"/>
        </w:rPr>
        <w:t xml:space="preserve"> </w:t>
      </w:r>
      <w:r w:rsidR="00FB2E5A" w:rsidRPr="00FA1E19">
        <w:rPr>
          <w:lang w:val="fr-FR"/>
        </w:rPr>
        <w:t>N.Y.C. Admin. Code § 17-330.</w:t>
      </w:r>
    </w:p>
  </w:footnote>
  <w:footnote w:id="75">
    <w:p w14:paraId="0B49D31F" w14:textId="20265CD2" w:rsidR="00FB2E5A" w:rsidRPr="00FB2E5A" w:rsidRDefault="00FB2E5A">
      <w:pPr>
        <w:pStyle w:val="FootnoteText"/>
      </w:pPr>
      <w:r>
        <w:rPr>
          <w:rStyle w:val="FootnoteReference"/>
        </w:rPr>
        <w:footnoteRef/>
      </w:r>
      <w:r>
        <w:t xml:space="preserve"> </w:t>
      </w:r>
      <w:r>
        <w:rPr>
          <w:i/>
          <w:iCs/>
        </w:rPr>
        <w:t>Id.</w:t>
      </w:r>
    </w:p>
  </w:footnote>
  <w:footnote w:id="76">
    <w:p w14:paraId="5051611D" w14:textId="77777777" w:rsidR="00C579CD" w:rsidRPr="00FB2E5A" w:rsidRDefault="00C579CD" w:rsidP="00C579CD">
      <w:pPr>
        <w:pStyle w:val="FootnoteText"/>
      </w:pPr>
      <w:r>
        <w:rPr>
          <w:rStyle w:val="FootnoteReference"/>
        </w:rPr>
        <w:footnoteRef/>
      </w:r>
      <w:r w:rsidRPr="00FB2E5A">
        <w:t xml:space="preserve"> 24 R.C.N.Y. ch. 4 (§§ 4-01–4-06).</w:t>
      </w:r>
    </w:p>
  </w:footnote>
  <w:footnote w:id="77">
    <w:p w14:paraId="5D077C43" w14:textId="77777777" w:rsidR="00C579CD" w:rsidRPr="00FE76AB" w:rsidRDefault="00C579CD" w:rsidP="00C579CD">
      <w:pPr>
        <w:pStyle w:val="FootnoteText"/>
      </w:pPr>
      <w:r>
        <w:rPr>
          <w:rStyle w:val="FootnoteReference"/>
        </w:rPr>
        <w:footnoteRef/>
      </w:r>
      <w:r>
        <w:t xml:space="preserve"> </w:t>
      </w:r>
      <w:r>
        <w:rPr>
          <w:i/>
          <w:iCs/>
        </w:rPr>
        <w:t>Id.</w:t>
      </w:r>
    </w:p>
  </w:footnote>
  <w:footnote w:id="78">
    <w:p w14:paraId="0336F14F" w14:textId="77777777" w:rsidR="00C579CD" w:rsidRPr="00FA1E19" w:rsidRDefault="00C579CD" w:rsidP="00C579CD">
      <w:pPr>
        <w:pStyle w:val="FootnoteText"/>
        <w:rPr>
          <w:lang w:val="fr-FR"/>
        </w:rPr>
      </w:pPr>
      <w:r>
        <w:rPr>
          <w:rStyle w:val="FootnoteReference"/>
        </w:rPr>
        <w:footnoteRef/>
      </w:r>
      <w:r w:rsidRPr="00FA1E19">
        <w:rPr>
          <w:lang w:val="fr-FR"/>
        </w:rPr>
        <w:t xml:space="preserve"> </w:t>
      </w:r>
      <w:r w:rsidRPr="00FA1E19">
        <w:rPr>
          <w:i/>
          <w:iCs/>
          <w:lang w:val="fr-FR"/>
        </w:rPr>
        <w:t>Id.</w:t>
      </w:r>
    </w:p>
  </w:footnote>
  <w:footnote w:id="79">
    <w:p w14:paraId="3493AD76" w14:textId="039F1A74" w:rsidR="00DA17A2" w:rsidRPr="00933352" w:rsidRDefault="00DA17A2">
      <w:pPr>
        <w:pStyle w:val="FootnoteText"/>
        <w:rPr>
          <w:lang w:val="fr-FR"/>
        </w:rPr>
      </w:pPr>
      <w:r>
        <w:rPr>
          <w:rStyle w:val="FootnoteReference"/>
        </w:rPr>
        <w:footnoteRef/>
      </w:r>
      <w:r w:rsidRPr="00FA1E19">
        <w:rPr>
          <w:lang w:val="fr-FR"/>
        </w:rPr>
        <w:t xml:space="preserve"> N.Y.C. Admin. </w:t>
      </w:r>
      <w:r w:rsidRPr="00933352">
        <w:rPr>
          <w:lang w:val="fr-FR"/>
        </w:rPr>
        <w:t xml:space="preserve">Code </w:t>
      </w:r>
      <w:r w:rsidRPr="00E77799">
        <w:rPr>
          <w:bCs/>
          <w:szCs w:val="24"/>
          <w:lang w:val="fr-FR"/>
        </w:rPr>
        <w:t>§</w:t>
      </w:r>
      <w:r>
        <w:rPr>
          <w:bCs/>
          <w:szCs w:val="24"/>
          <w:lang w:val="fr-FR"/>
        </w:rPr>
        <w:t xml:space="preserve"> 20-377 </w:t>
      </w:r>
      <w:r>
        <w:rPr>
          <w:bCs/>
          <w:i/>
          <w:iCs/>
          <w:szCs w:val="24"/>
          <w:lang w:val="fr-FR"/>
        </w:rPr>
        <w:t>et seq</w:t>
      </w:r>
      <w:r>
        <w:rPr>
          <w:bCs/>
          <w:szCs w:val="24"/>
          <w:lang w:val="fr-FR"/>
        </w:rPr>
        <w:t>.</w:t>
      </w:r>
    </w:p>
  </w:footnote>
  <w:footnote w:id="80">
    <w:p w14:paraId="53CE6BD2" w14:textId="754ED6BB" w:rsidR="00DB16A2" w:rsidRDefault="00DB16A2">
      <w:pPr>
        <w:pStyle w:val="FootnoteText"/>
      </w:pPr>
      <w:r>
        <w:rPr>
          <w:rStyle w:val="FootnoteReference"/>
        </w:rPr>
        <w:footnoteRef/>
      </w:r>
      <w:r>
        <w:t xml:space="preserve"> Admin. Code §§ 20-373, 20-381.</w:t>
      </w:r>
    </w:p>
  </w:footnote>
  <w:footnote w:id="81">
    <w:p w14:paraId="15730419" w14:textId="229EE369" w:rsidR="001D55B6" w:rsidRDefault="001D55B6">
      <w:pPr>
        <w:pStyle w:val="FootnoteText"/>
      </w:pPr>
      <w:r>
        <w:rPr>
          <w:rStyle w:val="FootnoteReference"/>
        </w:rPr>
        <w:footnoteRef/>
      </w:r>
      <w:r>
        <w:t xml:space="preserve"> </w:t>
      </w:r>
      <w:r w:rsidR="00DB16A2">
        <w:rPr>
          <w:i/>
          <w:iCs/>
        </w:rPr>
        <w:t xml:space="preserve">Id. </w:t>
      </w:r>
      <w:r w:rsidR="00DB16A2">
        <w:t xml:space="preserve">See also </w:t>
      </w:r>
      <w:r w:rsidR="0041089D">
        <w:rPr>
          <w:i/>
          <w:iCs/>
        </w:rPr>
        <w:t>NYC Business: Horse Drawn Cab Owner License</w:t>
      </w:r>
      <w:r w:rsidR="0041089D">
        <w:t xml:space="preserve">, </w:t>
      </w:r>
      <w:hyperlink r:id="rId31" w:history="1">
        <w:r w:rsidR="00AD06A6" w:rsidRPr="009B3FBF">
          <w:rPr>
            <w:rStyle w:val="Hyperlink"/>
            <w:rFonts w:ascii="Times New Roman" w:hAnsi="Times New Roman"/>
            <w:sz w:val="20"/>
            <w:szCs w:val="20"/>
          </w:rPr>
          <w:t>https://nyc-business.nyc.gov/nycbusiness/description/horse-drawn-cab-owner-license</w:t>
        </w:r>
      </w:hyperlink>
      <w:r w:rsidR="00176077">
        <w:t xml:space="preserve"> </w:t>
      </w:r>
      <w:r w:rsidR="00F663BB">
        <w:t xml:space="preserve">NYC Business: Horse Drawn Cab Driver License, </w:t>
      </w:r>
      <w:hyperlink r:id="rId32" w:history="1">
        <w:r w:rsidR="00F663BB" w:rsidRPr="009B3FBF">
          <w:rPr>
            <w:rStyle w:val="Hyperlink"/>
            <w:rFonts w:ascii="Times New Roman" w:hAnsi="Times New Roman"/>
            <w:sz w:val="20"/>
            <w:szCs w:val="20"/>
          </w:rPr>
          <w:t>https://nyc-business.nyc.gov/nycbusiness/description/horse-drawn-cab-driver-license</w:t>
        </w:r>
      </w:hyperlink>
      <w:r w:rsidR="00F663BB">
        <w:t>. Last accessed Jul. 9, 2026.</w:t>
      </w:r>
    </w:p>
  </w:footnote>
  <w:footnote w:id="82">
    <w:p w14:paraId="2E7D9F12" w14:textId="77777777" w:rsidR="0057312D" w:rsidRPr="00F37855" w:rsidRDefault="0057312D" w:rsidP="0057312D">
      <w:pPr>
        <w:pStyle w:val="FootnoteText"/>
      </w:pPr>
      <w:r>
        <w:rPr>
          <w:rStyle w:val="FootnoteReference"/>
        </w:rPr>
        <w:footnoteRef/>
      </w:r>
      <w:r>
        <w:t xml:space="preserve"> </w:t>
      </w:r>
      <w:r>
        <w:rPr>
          <w:i/>
          <w:iCs/>
        </w:rPr>
        <w:t>Id.</w:t>
      </w:r>
    </w:p>
  </w:footnote>
  <w:footnote w:id="83">
    <w:p w14:paraId="679129E6" w14:textId="51803441" w:rsidR="00275E82" w:rsidRPr="00F37855" w:rsidRDefault="00275E82">
      <w:pPr>
        <w:pStyle w:val="FootnoteText"/>
      </w:pPr>
      <w:r>
        <w:rPr>
          <w:rStyle w:val="FootnoteReference"/>
        </w:rPr>
        <w:footnoteRef/>
      </w:r>
      <w:r>
        <w:t xml:space="preserve"> </w:t>
      </w:r>
      <w:r w:rsidR="00F37855">
        <w:t xml:space="preserve">N.Y.C. Admin. Code </w:t>
      </w:r>
      <w:r w:rsidR="00F37855" w:rsidRPr="00F37855">
        <w:rPr>
          <w:bCs/>
          <w:szCs w:val="24"/>
        </w:rPr>
        <w:t>§ 20-381.</w:t>
      </w:r>
      <w:r w:rsidR="00176077">
        <w:rPr>
          <w:bCs/>
          <w:szCs w:val="24"/>
        </w:rPr>
        <w:t xml:space="preserve"> </w:t>
      </w:r>
    </w:p>
  </w:footnote>
  <w:footnote w:id="84">
    <w:p w14:paraId="33064921" w14:textId="766752F9" w:rsidR="00F37855" w:rsidRPr="00F37855" w:rsidRDefault="00F37855">
      <w:pPr>
        <w:pStyle w:val="FootnoteText"/>
      </w:pPr>
      <w:r>
        <w:rPr>
          <w:rStyle w:val="FootnoteReference"/>
        </w:rPr>
        <w:footnoteRef/>
      </w:r>
      <w:r>
        <w:t xml:space="preserve"> </w:t>
      </w:r>
      <w:r>
        <w:rPr>
          <w:i/>
          <w:iCs/>
        </w:rPr>
        <w:t>Id.</w:t>
      </w:r>
    </w:p>
  </w:footnote>
  <w:footnote w:id="85">
    <w:p w14:paraId="35BF48A7" w14:textId="77777777" w:rsidR="00E71559" w:rsidRPr="00E71559" w:rsidRDefault="00E71559" w:rsidP="00E71559">
      <w:pPr>
        <w:pStyle w:val="FootnoteText"/>
      </w:pPr>
      <w:r>
        <w:rPr>
          <w:rStyle w:val="FootnoteReference"/>
        </w:rPr>
        <w:footnoteRef/>
      </w:r>
      <w:r w:rsidRPr="00E71559">
        <w:t xml:space="preserve"> </w:t>
      </w:r>
      <w:r w:rsidRPr="00E71559">
        <w:rPr>
          <w:i/>
          <w:iCs/>
        </w:rPr>
        <w:t>Id.</w:t>
      </w:r>
    </w:p>
  </w:footnote>
  <w:footnote w:id="86">
    <w:p w14:paraId="0652F2DB" w14:textId="77777777" w:rsidR="00E71559" w:rsidRPr="00E71559" w:rsidRDefault="00E71559" w:rsidP="00E71559">
      <w:pPr>
        <w:pStyle w:val="FootnoteText"/>
      </w:pPr>
      <w:r>
        <w:rPr>
          <w:rStyle w:val="FootnoteReference"/>
        </w:rPr>
        <w:footnoteRef/>
      </w:r>
      <w:r>
        <w:t xml:space="preserve"> </w:t>
      </w:r>
      <w:r>
        <w:rPr>
          <w:i/>
          <w:iCs/>
        </w:rPr>
        <w:t>Id.</w:t>
      </w:r>
    </w:p>
  </w:footnote>
  <w:footnote w:id="87">
    <w:p w14:paraId="645CC254" w14:textId="4F2D81CA" w:rsidR="00E71559" w:rsidRPr="00E71559" w:rsidRDefault="00E71559">
      <w:pPr>
        <w:pStyle w:val="FootnoteText"/>
      </w:pPr>
      <w:r>
        <w:rPr>
          <w:rStyle w:val="FootnoteReference"/>
        </w:rPr>
        <w:footnoteRef/>
      </w:r>
      <w:r>
        <w:t xml:space="preserve"> </w:t>
      </w:r>
      <w:r>
        <w:rPr>
          <w:i/>
          <w:iCs/>
        </w:rPr>
        <w:t>Id.</w:t>
      </w:r>
    </w:p>
  </w:footnote>
  <w:footnote w:id="88">
    <w:p w14:paraId="29C65C41" w14:textId="780AD2E5" w:rsidR="00E71559" w:rsidRPr="00E71559" w:rsidRDefault="00E71559">
      <w:pPr>
        <w:pStyle w:val="FootnoteText"/>
      </w:pPr>
      <w:r>
        <w:rPr>
          <w:rStyle w:val="FootnoteReference"/>
        </w:rPr>
        <w:footnoteRef/>
      </w:r>
      <w:r>
        <w:t xml:space="preserve"> </w:t>
      </w:r>
      <w:r>
        <w:rPr>
          <w:i/>
          <w:iCs/>
        </w:rPr>
        <w:t>Id.</w:t>
      </w:r>
    </w:p>
  </w:footnote>
  <w:footnote w:id="89">
    <w:p w14:paraId="7651FCED" w14:textId="335F1288" w:rsidR="00E71559" w:rsidRPr="00FA1E19" w:rsidRDefault="00E71559">
      <w:pPr>
        <w:pStyle w:val="FootnoteText"/>
      </w:pPr>
      <w:r>
        <w:rPr>
          <w:rStyle w:val="FootnoteReference"/>
        </w:rPr>
        <w:footnoteRef/>
      </w:r>
      <w:r w:rsidRPr="00FA1E19">
        <w:t xml:space="preserve"> </w:t>
      </w:r>
      <w:r w:rsidRPr="00FA1E19">
        <w:rPr>
          <w:i/>
          <w:iCs/>
        </w:rPr>
        <w:t>Id.</w:t>
      </w:r>
    </w:p>
  </w:footnote>
  <w:footnote w:id="90">
    <w:p w14:paraId="36DFFDFD" w14:textId="51914477" w:rsidR="00C678F2" w:rsidRDefault="00C678F2">
      <w:pPr>
        <w:pStyle w:val="FootnoteText"/>
      </w:pPr>
      <w:r>
        <w:rPr>
          <w:rStyle w:val="FootnoteReference"/>
        </w:rPr>
        <w:footnoteRef/>
      </w:r>
      <w:r>
        <w:t xml:space="preserve"> </w:t>
      </w:r>
      <w:r w:rsidRPr="00C678F2">
        <w:t>6 R.C.N.Y. § 2-212</w:t>
      </w:r>
      <w:r>
        <w:t>.</w:t>
      </w:r>
    </w:p>
  </w:footnote>
  <w:footnote w:id="91">
    <w:p w14:paraId="569D6A14" w14:textId="5C1FDC57" w:rsidR="00C678F2" w:rsidRPr="00C678F2" w:rsidRDefault="00C678F2">
      <w:pPr>
        <w:pStyle w:val="FootnoteText"/>
      </w:pPr>
      <w:r>
        <w:rPr>
          <w:rStyle w:val="FootnoteReference"/>
        </w:rPr>
        <w:footnoteRef/>
      </w:r>
      <w:r>
        <w:t xml:space="preserve"> </w:t>
      </w:r>
      <w:r>
        <w:rPr>
          <w:i/>
          <w:iCs/>
        </w:rPr>
        <w:t>Id.</w:t>
      </w:r>
    </w:p>
  </w:footnote>
  <w:footnote w:id="92">
    <w:p w14:paraId="03FFE1C6" w14:textId="6E7DC7CA" w:rsidR="00F2034A" w:rsidRDefault="00F2034A">
      <w:pPr>
        <w:pStyle w:val="FootnoteText"/>
      </w:pPr>
      <w:r>
        <w:rPr>
          <w:rStyle w:val="FootnoteReference"/>
        </w:rPr>
        <w:footnoteRef/>
      </w:r>
      <w:r>
        <w:t xml:space="preserve"> </w:t>
      </w:r>
      <w:r w:rsidR="007E6EB8">
        <w:t xml:space="preserve">34 </w:t>
      </w:r>
      <w:r w:rsidR="007E6EB8" w:rsidRPr="00C678F2">
        <w:t>R.C.N.Y</w:t>
      </w:r>
      <w:r w:rsidR="005E4AEA">
        <w:t xml:space="preserve">. </w:t>
      </w:r>
      <w:r w:rsidR="005E4AEA" w:rsidRPr="00C678F2">
        <w:t>§</w:t>
      </w:r>
      <w:r w:rsidR="005E4AEA">
        <w:t xml:space="preserve"> </w:t>
      </w:r>
      <w:r w:rsidR="00CF6AE1">
        <w:t>4-12</w:t>
      </w:r>
      <w:r w:rsidR="00646C33">
        <w:t xml:space="preserve"> (e)</w:t>
      </w:r>
      <w:r w:rsidR="008D618A">
        <w:t>,</w:t>
      </w:r>
      <w:r w:rsidR="00646C33">
        <w:t>(t)</w:t>
      </w:r>
      <w:r w:rsidR="008D618A">
        <w:t>.</w:t>
      </w:r>
    </w:p>
  </w:footnote>
  <w:footnote w:id="93">
    <w:p w14:paraId="37013527" w14:textId="06FF605B" w:rsidR="009C3EF1" w:rsidRDefault="009C3EF1">
      <w:pPr>
        <w:pStyle w:val="FootnoteText"/>
      </w:pPr>
      <w:r>
        <w:rPr>
          <w:rStyle w:val="FootnoteReference"/>
        </w:rPr>
        <w:footnoteRef/>
      </w:r>
      <w:r>
        <w:t xml:space="preserve"> </w:t>
      </w:r>
      <w:r w:rsidR="00C01F98" w:rsidRPr="007C59FE">
        <w:rPr>
          <w:i/>
          <w:iCs/>
        </w:rPr>
        <w:t>Id.</w:t>
      </w:r>
    </w:p>
  </w:footnote>
  <w:footnote w:id="94">
    <w:p w14:paraId="5E221853" w14:textId="42D19383" w:rsidR="009C3EF1" w:rsidRDefault="009C3EF1">
      <w:pPr>
        <w:pStyle w:val="FootnoteText"/>
      </w:pPr>
      <w:r>
        <w:rPr>
          <w:rStyle w:val="FootnoteReference"/>
        </w:rPr>
        <w:footnoteRef/>
      </w:r>
      <w:r>
        <w:t xml:space="preserve"> </w:t>
      </w:r>
      <w:r w:rsidR="00C01F98" w:rsidRPr="00280010">
        <w:rPr>
          <w:i/>
          <w:iCs/>
        </w:rPr>
        <w:t>Id.</w:t>
      </w:r>
    </w:p>
  </w:footnote>
  <w:footnote w:id="95">
    <w:p w14:paraId="37BE40B1" w14:textId="78191CFC" w:rsidR="009C3EF1" w:rsidRDefault="009C3EF1">
      <w:pPr>
        <w:pStyle w:val="FootnoteText"/>
      </w:pPr>
      <w:r>
        <w:rPr>
          <w:rStyle w:val="FootnoteReference"/>
        </w:rPr>
        <w:footnoteRef/>
      </w:r>
      <w:r>
        <w:t xml:space="preserve"> </w:t>
      </w:r>
      <w:r w:rsidR="00C01F98" w:rsidRPr="00280010">
        <w:rPr>
          <w:i/>
          <w:iCs/>
        </w:rPr>
        <w:t>Id.</w:t>
      </w:r>
    </w:p>
  </w:footnote>
  <w:footnote w:id="96">
    <w:p w14:paraId="0793AB93" w14:textId="0CC4317F" w:rsidR="00FE76AB" w:rsidRPr="00FE76AB" w:rsidRDefault="00FE76AB">
      <w:pPr>
        <w:pStyle w:val="FootnoteText"/>
        <w:rPr>
          <w:bCs/>
        </w:rPr>
      </w:pPr>
      <w:r>
        <w:rPr>
          <w:rStyle w:val="FootnoteReference"/>
        </w:rPr>
        <w:footnoteRef/>
      </w:r>
      <w:r>
        <w:t xml:space="preserve"> </w:t>
      </w:r>
      <w:r w:rsidRPr="00FE76AB">
        <w:rPr>
          <w:i/>
          <w:iCs/>
        </w:rPr>
        <w:t>See, e.g.</w:t>
      </w:r>
      <w:r w:rsidRPr="00FE76AB">
        <w:t>, L</w:t>
      </w:r>
      <w:r>
        <w:t>.L.</w:t>
      </w:r>
      <w:r w:rsidRPr="00FE76AB">
        <w:t xml:space="preserve"> 8</w:t>
      </w:r>
      <w:r w:rsidR="0086189B">
        <w:t>9</w:t>
      </w:r>
      <w:r w:rsidRPr="00FE76AB">
        <w:t xml:space="preserve"> of 1989; </w:t>
      </w:r>
      <w:r w:rsidR="0086189B">
        <w:t xml:space="preserve">L.L. 10 of 2010; </w:t>
      </w:r>
      <w:r w:rsidRPr="00FE76AB">
        <w:t>L</w:t>
      </w:r>
      <w:r>
        <w:t>.L.</w:t>
      </w:r>
      <w:r w:rsidRPr="00FE76AB">
        <w:t xml:space="preserve"> 53 of 2016; L</w:t>
      </w:r>
      <w:r>
        <w:t>.L.</w:t>
      </w:r>
      <w:r w:rsidRPr="00FE76AB">
        <w:t xml:space="preserve"> 203 of 2019; L</w:t>
      </w:r>
      <w:r>
        <w:t>.L.</w:t>
      </w:r>
      <w:r w:rsidRPr="00FE76AB">
        <w:t xml:space="preserve"> 80 of 2020.</w:t>
      </w:r>
    </w:p>
  </w:footnote>
  <w:footnote w:id="97">
    <w:p w14:paraId="57F2A973" w14:textId="09C39720" w:rsidR="00FE76AB" w:rsidRPr="00FE76AB" w:rsidRDefault="00FE76AB">
      <w:pPr>
        <w:pStyle w:val="FootnoteText"/>
      </w:pPr>
      <w:r>
        <w:rPr>
          <w:rStyle w:val="FootnoteReference"/>
        </w:rPr>
        <w:footnoteRef/>
      </w:r>
      <w:r>
        <w:t xml:space="preserve"> </w:t>
      </w:r>
      <w:r>
        <w:rPr>
          <w:i/>
          <w:iCs/>
        </w:rPr>
        <w:t>Id.</w:t>
      </w:r>
    </w:p>
  </w:footnote>
  <w:footnote w:id="98">
    <w:p w14:paraId="6502D58B" w14:textId="0DBE3934" w:rsidR="0024431D" w:rsidRPr="004A08E9" w:rsidRDefault="0024431D">
      <w:pPr>
        <w:pStyle w:val="FootnoteText"/>
      </w:pPr>
      <w:r>
        <w:rPr>
          <w:rStyle w:val="FootnoteReference"/>
        </w:rPr>
        <w:footnoteRef/>
      </w:r>
      <w:r>
        <w:t xml:space="preserve"> </w:t>
      </w:r>
      <w:r w:rsidR="004A08E9">
        <w:t>L.L. 4/1982.</w:t>
      </w:r>
    </w:p>
  </w:footnote>
  <w:footnote w:id="99">
    <w:p w14:paraId="4A54676B" w14:textId="49594411" w:rsidR="004C3182" w:rsidRPr="00E37395" w:rsidRDefault="004C3182">
      <w:pPr>
        <w:pStyle w:val="FootnoteText"/>
      </w:pPr>
      <w:r>
        <w:rPr>
          <w:rStyle w:val="FootnoteReference"/>
        </w:rPr>
        <w:footnoteRef/>
      </w:r>
      <w:r>
        <w:t xml:space="preserve"> </w:t>
      </w:r>
      <w:r>
        <w:rPr>
          <w:i/>
          <w:iCs/>
        </w:rPr>
        <w:t>Id.</w:t>
      </w:r>
      <w:r w:rsidR="00E37395">
        <w:rPr>
          <w:i/>
          <w:iCs/>
        </w:rPr>
        <w:t xml:space="preserve"> </w:t>
      </w:r>
      <w:r w:rsidR="00E37395">
        <w:t xml:space="preserve">The Rental Horse Advisory Board was intended to make </w:t>
      </w:r>
      <w:r w:rsidR="00E37395" w:rsidRPr="00E37395">
        <w:t xml:space="preserve">recommendations to the </w:t>
      </w:r>
      <w:r w:rsidR="00E37395">
        <w:t xml:space="preserve">DOHMH Commissioner </w:t>
      </w:r>
      <w:r w:rsidR="00E37395" w:rsidRPr="00E37395">
        <w:t>on</w:t>
      </w:r>
      <w:r w:rsidR="00E37395">
        <w:t xml:space="preserve"> best practices to regulate the horse carriage industry and promote the health and well-being of carriage horses. </w:t>
      </w:r>
      <w:r w:rsidR="00AC65D2">
        <w:t xml:space="preserve">The body was to be comprised of two carriage horse business owners, two members of the public (only one of which may represent an animal welfare organization), and one veterinarian. </w:t>
      </w:r>
      <w:r w:rsidR="00E37395">
        <w:t>Admin. Code § 17-331.</w:t>
      </w:r>
    </w:p>
  </w:footnote>
  <w:footnote w:id="100">
    <w:p w14:paraId="5E419D7A" w14:textId="49D6FA4F" w:rsidR="00237CDA" w:rsidRPr="00237CDA" w:rsidRDefault="00237CDA">
      <w:pPr>
        <w:pStyle w:val="FootnoteText"/>
      </w:pPr>
      <w:r>
        <w:rPr>
          <w:rStyle w:val="FootnoteReference"/>
        </w:rPr>
        <w:footnoteRef/>
      </w:r>
      <w:r>
        <w:t xml:space="preserve"> </w:t>
      </w:r>
      <w:r w:rsidR="00476D69">
        <w:t>“</w:t>
      </w:r>
      <w:r>
        <w:rPr>
          <w:i/>
          <w:iCs/>
        </w:rPr>
        <w:t>A.S.P.C.A and City Agencies Criticized Over Carriage Horses</w:t>
      </w:r>
      <w:r w:rsidR="00476D69">
        <w:rPr>
          <w:i/>
          <w:iCs/>
        </w:rPr>
        <w:t xml:space="preserve">”, </w:t>
      </w:r>
      <w:r w:rsidR="00476D69" w:rsidRPr="00A1795A">
        <w:rPr>
          <w:iCs/>
        </w:rPr>
        <w:t>NY Times,</w:t>
      </w:r>
      <w:r>
        <w:rPr>
          <w:i/>
          <w:iCs/>
        </w:rPr>
        <w:t xml:space="preserve"> </w:t>
      </w:r>
      <w:r>
        <w:t xml:space="preserve">(Aug. 20, 1982), </w:t>
      </w:r>
      <w:r w:rsidR="00476D69" w:rsidRPr="00A1795A">
        <w:rPr>
          <w:i/>
        </w:rPr>
        <w:t>available at:</w:t>
      </w:r>
      <w:r w:rsidR="00476D69">
        <w:t xml:space="preserve"> </w:t>
      </w:r>
      <w:hyperlink r:id="rId33" w:history="1">
        <w:r w:rsidRPr="00BA1491">
          <w:rPr>
            <w:rStyle w:val="Hyperlink"/>
            <w:rFonts w:ascii="Times New Roman" w:hAnsi="Times New Roman"/>
            <w:sz w:val="20"/>
            <w:szCs w:val="20"/>
          </w:rPr>
          <w:t>https://www.nytimes.com/1982/08/20/nyregion/aspca-and-city-agencies-criticized-over-carriage-horses.html</w:t>
        </w:r>
      </w:hyperlink>
      <w:r>
        <w:t xml:space="preserve">. </w:t>
      </w:r>
    </w:p>
  </w:footnote>
  <w:footnote w:id="101">
    <w:p w14:paraId="11AF12F5" w14:textId="1921209C" w:rsidR="00E12B30" w:rsidRPr="00E12B30" w:rsidRDefault="00E12B30">
      <w:pPr>
        <w:pStyle w:val="FootnoteText"/>
      </w:pPr>
      <w:r>
        <w:rPr>
          <w:rStyle w:val="FootnoteReference"/>
        </w:rPr>
        <w:footnoteRef/>
      </w:r>
      <w:r>
        <w:t xml:space="preserve"> </w:t>
      </w:r>
      <w:r>
        <w:rPr>
          <w:i/>
          <w:iCs/>
        </w:rPr>
        <w:t>Id.</w:t>
      </w:r>
    </w:p>
  </w:footnote>
  <w:footnote w:id="102">
    <w:p w14:paraId="3FAD6E01" w14:textId="5D57F42E" w:rsidR="00BF4DD2" w:rsidRDefault="00BF4DD2">
      <w:pPr>
        <w:pStyle w:val="FootnoteText"/>
      </w:pPr>
      <w:r>
        <w:rPr>
          <w:rStyle w:val="FootnoteReference"/>
        </w:rPr>
        <w:footnoteRef/>
      </w:r>
      <w:r w:rsidR="0080622B">
        <w:t xml:space="preserve"> Katherine</w:t>
      </w:r>
      <w:r w:rsidR="00280EDE">
        <w:t xml:space="preserve"> </w:t>
      </w:r>
      <w:r w:rsidR="0080622B">
        <w:t>Hutchison,</w:t>
      </w:r>
      <w:r w:rsidR="00703CAC">
        <w:t xml:space="preserve"> </w:t>
      </w:r>
      <w:r w:rsidR="00476D69">
        <w:t>“</w:t>
      </w:r>
      <w:r w:rsidR="0080622B" w:rsidRPr="00A1795A">
        <w:rPr>
          <w:iCs/>
        </w:rPr>
        <w:t>Should They Go The Way of the Horse and Buggy? How the New York City Horse-Drawn Carriage Industry Has Survived Thirty Years of Opposition</w:t>
      </w:r>
      <w:r w:rsidR="00476D69">
        <w:rPr>
          <w:iCs/>
        </w:rPr>
        <w:t>”,</w:t>
      </w:r>
      <w:r w:rsidR="00201D46">
        <w:rPr>
          <w:i/>
          <w:iCs/>
        </w:rPr>
        <w:t xml:space="preserve"> </w:t>
      </w:r>
      <w:r w:rsidR="00476D69">
        <w:t xml:space="preserve">Animal Legal &amp; Historical Center, </w:t>
      </w:r>
      <w:r w:rsidR="00201D46">
        <w:t>(Mar.</w:t>
      </w:r>
      <w:r w:rsidR="00334297">
        <w:t xml:space="preserve"> 21, 2011)</w:t>
      </w:r>
      <w:r w:rsidR="0080622B">
        <w:t>,</w:t>
      </w:r>
      <w:r w:rsidR="00476D69">
        <w:t xml:space="preserve"> </w:t>
      </w:r>
      <w:r w:rsidR="00476D69">
        <w:rPr>
          <w:i/>
        </w:rPr>
        <w:t>available at:</w:t>
      </w:r>
      <w:r>
        <w:t xml:space="preserve"> </w:t>
      </w:r>
      <w:hyperlink r:id="rId34" w:history="1">
        <w:r w:rsidR="001D7DBF" w:rsidRPr="00BA1491">
          <w:rPr>
            <w:rStyle w:val="Hyperlink"/>
            <w:rFonts w:ascii="Times New Roman" w:hAnsi="Times New Roman"/>
            <w:sz w:val="20"/>
            <w:szCs w:val="20"/>
          </w:rPr>
          <w:t>https://www.animallaw.info/sites/default/files/lralvol17_1_171.pdf</w:t>
        </w:r>
      </w:hyperlink>
      <w:r w:rsidR="001D7DBF">
        <w:t xml:space="preserve">. </w:t>
      </w:r>
    </w:p>
  </w:footnote>
  <w:footnote w:id="103">
    <w:p w14:paraId="73075AC5" w14:textId="3A3EEC33" w:rsidR="008A13EC" w:rsidRPr="008A13EC" w:rsidRDefault="008A13EC">
      <w:pPr>
        <w:pStyle w:val="FootnoteText"/>
      </w:pPr>
      <w:r>
        <w:rPr>
          <w:rStyle w:val="FootnoteReference"/>
        </w:rPr>
        <w:footnoteRef/>
      </w:r>
      <w:r>
        <w:t xml:space="preserve"> </w:t>
      </w:r>
      <w:r>
        <w:rPr>
          <w:i/>
          <w:iCs/>
        </w:rPr>
        <w:t>Id.</w:t>
      </w:r>
    </w:p>
  </w:footnote>
  <w:footnote w:id="104">
    <w:p w14:paraId="4E4F85B3" w14:textId="271B2EA5" w:rsidR="008A13EC" w:rsidRPr="008A13EC" w:rsidRDefault="008A13EC">
      <w:pPr>
        <w:pStyle w:val="FootnoteText"/>
      </w:pPr>
      <w:r>
        <w:rPr>
          <w:rStyle w:val="FootnoteReference"/>
        </w:rPr>
        <w:footnoteRef/>
      </w:r>
      <w:r>
        <w:t xml:space="preserve"> </w:t>
      </w:r>
      <w:r>
        <w:rPr>
          <w:i/>
          <w:iCs/>
        </w:rPr>
        <w:t>Id.</w:t>
      </w:r>
    </w:p>
  </w:footnote>
  <w:footnote w:id="105">
    <w:p w14:paraId="74914D48" w14:textId="1A3D589E" w:rsidR="00C63D54" w:rsidRPr="00C63D54" w:rsidRDefault="00C63D54">
      <w:pPr>
        <w:pStyle w:val="FootnoteText"/>
      </w:pPr>
      <w:r>
        <w:rPr>
          <w:rStyle w:val="FootnoteReference"/>
        </w:rPr>
        <w:footnoteRef/>
      </w:r>
      <w:r>
        <w:t xml:space="preserve"> </w:t>
      </w:r>
      <w:r>
        <w:rPr>
          <w:i/>
          <w:iCs/>
        </w:rPr>
        <w:t>Id.</w:t>
      </w:r>
    </w:p>
  </w:footnote>
  <w:footnote w:id="106">
    <w:p w14:paraId="3F366270" w14:textId="68184A47" w:rsidR="00FE46EE" w:rsidRDefault="00FE46EE">
      <w:pPr>
        <w:pStyle w:val="FootnoteText"/>
      </w:pPr>
      <w:r>
        <w:rPr>
          <w:rStyle w:val="FootnoteReference"/>
        </w:rPr>
        <w:footnoteRef/>
      </w:r>
      <w:r>
        <w:t xml:space="preserve"> </w:t>
      </w:r>
      <w:r w:rsidR="009D1C6C">
        <w:t>N</w:t>
      </w:r>
      <w:r w:rsidR="00D21E9C">
        <w:t>YC</w:t>
      </w:r>
      <w:r w:rsidR="009D1C6C">
        <w:t xml:space="preserve"> Bar Association</w:t>
      </w:r>
      <w:r w:rsidR="007B5A99">
        <w:t xml:space="preserve">, </w:t>
      </w:r>
      <w:r w:rsidR="007B5A99">
        <w:rPr>
          <w:i/>
          <w:iCs/>
        </w:rPr>
        <w:t>Report on Legislation by the Animal Law Committee</w:t>
      </w:r>
      <w:r w:rsidR="007B5A99">
        <w:t xml:space="preserve">, </w:t>
      </w:r>
      <w:hyperlink r:id="rId35" w:history="1">
        <w:r w:rsidR="007B5A99" w:rsidRPr="009B3FBF">
          <w:rPr>
            <w:rStyle w:val="Hyperlink"/>
            <w:rFonts w:ascii="Times New Roman" w:hAnsi="Times New Roman"/>
            <w:sz w:val="20"/>
            <w:szCs w:val="20"/>
          </w:rPr>
          <w:t>https://www2.nycbar.org/pdf/report/uploads/20072178-ReportonA.7748-S.5013whichwouldprohibittheoperationofhorsedrawncarriagesinNewYorkCitySeptember2011.pdf</w:t>
        </w:r>
      </w:hyperlink>
      <w:r w:rsidR="007B5A99">
        <w:t xml:space="preserve">. </w:t>
      </w:r>
    </w:p>
  </w:footnote>
  <w:footnote w:id="107">
    <w:p w14:paraId="5BFBC337" w14:textId="03153AE1" w:rsidR="000246FC" w:rsidRDefault="000246FC">
      <w:pPr>
        <w:pStyle w:val="FootnoteText"/>
      </w:pPr>
      <w:r>
        <w:rPr>
          <w:rStyle w:val="FootnoteReference"/>
        </w:rPr>
        <w:footnoteRef/>
      </w:r>
      <w:r>
        <w:t xml:space="preserve"> </w:t>
      </w:r>
      <w:r w:rsidR="00FE46EE">
        <w:t>L.L. 89/1989, § 1.</w:t>
      </w:r>
    </w:p>
  </w:footnote>
  <w:footnote w:id="108">
    <w:p w14:paraId="2546D4C1" w14:textId="332DF396" w:rsidR="00821AFA" w:rsidRPr="00821AFA" w:rsidRDefault="00821AFA">
      <w:pPr>
        <w:pStyle w:val="FootnoteText"/>
      </w:pPr>
      <w:r>
        <w:rPr>
          <w:rStyle w:val="FootnoteReference"/>
        </w:rPr>
        <w:footnoteRef/>
      </w:r>
      <w:r>
        <w:t xml:space="preserve"> </w:t>
      </w:r>
      <w:r>
        <w:rPr>
          <w:i/>
          <w:iCs/>
        </w:rPr>
        <w:t>Id.</w:t>
      </w:r>
    </w:p>
  </w:footnote>
  <w:footnote w:id="109">
    <w:p w14:paraId="25C66B02" w14:textId="1603DB74" w:rsidR="00193F0B" w:rsidRDefault="00193F0B" w:rsidP="00193F0B">
      <w:pPr>
        <w:pStyle w:val="FootnoteText"/>
      </w:pPr>
      <w:r>
        <w:rPr>
          <w:rStyle w:val="FootnoteReference"/>
        </w:rPr>
        <w:footnoteRef/>
      </w:r>
      <w:r>
        <w:t xml:space="preserve"> </w:t>
      </w:r>
      <w:r w:rsidR="000D487E">
        <w:t>N</w:t>
      </w:r>
      <w:r w:rsidR="001C1F27">
        <w:t>YC Office</w:t>
      </w:r>
      <w:r w:rsidR="000D487E">
        <w:t xml:space="preserve"> </w:t>
      </w:r>
      <w:r w:rsidR="0060414C">
        <w:t>o</w:t>
      </w:r>
      <w:r w:rsidR="000D487E">
        <w:t>f the Comptroller,</w:t>
      </w:r>
      <w:r w:rsidR="0060414C">
        <w:t xml:space="preserve"> </w:t>
      </w:r>
      <w:r w:rsidR="001C1F27">
        <w:t>“</w:t>
      </w:r>
      <w:r>
        <w:t>Audit Report on the Licensing and Oversight of the Carriage-Horse Industry by the Departments of Health and Mental Hygiene and Consumer Affairs</w:t>
      </w:r>
      <w:r w:rsidR="001C1F27">
        <w:t>”</w:t>
      </w:r>
      <w:r>
        <w:t xml:space="preserve"> (June 27, 2007)</w:t>
      </w:r>
      <w:r w:rsidR="000D487E">
        <w:t xml:space="preserve">, </w:t>
      </w:r>
      <w:r w:rsidR="000D487E">
        <w:rPr>
          <w:i/>
          <w:iCs/>
        </w:rPr>
        <w:t>available at</w:t>
      </w:r>
      <w:r w:rsidR="001C1F27">
        <w:rPr>
          <w:i/>
          <w:iCs/>
        </w:rPr>
        <w:t>:</w:t>
      </w:r>
      <w:r w:rsidR="000D487E">
        <w:t xml:space="preserve"> </w:t>
      </w:r>
      <w:hyperlink r:id="rId36" w:history="1">
        <w:r w:rsidR="000D487E" w:rsidRPr="009B3FBF">
          <w:rPr>
            <w:rStyle w:val="Hyperlink"/>
            <w:rFonts w:ascii="Times New Roman" w:hAnsi="Times New Roman"/>
            <w:sz w:val="20"/>
            <w:szCs w:val="20"/>
          </w:rPr>
          <w:t>https://comptroller.nyc.gov/reports/audit-report-on-the-licensing-and-oversight-of-the-carriage-horse-industry-by-the-departments-of-health-and-mental-hygiene-and-consumer-affairs/</w:t>
        </w:r>
      </w:hyperlink>
      <w:r w:rsidR="000D487E">
        <w:t xml:space="preserve">. </w:t>
      </w:r>
    </w:p>
  </w:footnote>
  <w:footnote w:id="110">
    <w:p w14:paraId="53407C19" w14:textId="0E442897" w:rsidR="001433CA" w:rsidRPr="001433CA" w:rsidRDefault="001433CA">
      <w:pPr>
        <w:pStyle w:val="FootnoteText"/>
      </w:pPr>
      <w:r>
        <w:rPr>
          <w:rStyle w:val="FootnoteReference"/>
        </w:rPr>
        <w:footnoteRef/>
      </w:r>
      <w:r>
        <w:t xml:space="preserve"> </w:t>
      </w:r>
      <w:r>
        <w:rPr>
          <w:i/>
          <w:iCs/>
        </w:rPr>
        <w:t>Id.</w:t>
      </w:r>
    </w:p>
  </w:footnote>
  <w:footnote w:id="111">
    <w:p w14:paraId="74887D87" w14:textId="13629F19" w:rsidR="006452BA" w:rsidRPr="006452BA" w:rsidRDefault="006452BA">
      <w:pPr>
        <w:pStyle w:val="FootnoteText"/>
      </w:pPr>
      <w:r>
        <w:rPr>
          <w:rStyle w:val="FootnoteReference"/>
        </w:rPr>
        <w:footnoteRef/>
      </w:r>
      <w:r>
        <w:t xml:space="preserve"> </w:t>
      </w:r>
      <w:r>
        <w:rPr>
          <w:i/>
          <w:iCs/>
        </w:rPr>
        <w:t>Id.</w:t>
      </w:r>
    </w:p>
  </w:footnote>
  <w:footnote w:id="112">
    <w:p w14:paraId="63426752" w14:textId="793FE5DA" w:rsidR="00BD0F5E" w:rsidRDefault="00BD0F5E">
      <w:pPr>
        <w:pStyle w:val="FootnoteText"/>
      </w:pPr>
      <w:r>
        <w:rPr>
          <w:rStyle w:val="FootnoteReference"/>
        </w:rPr>
        <w:footnoteRef/>
      </w:r>
      <w:r>
        <w:t xml:space="preserve"> L.L. 10/2010.</w:t>
      </w:r>
    </w:p>
  </w:footnote>
  <w:footnote w:id="113">
    <w:p w14:paraId="540016D7" w14:textId="11B7263E" w:rsidR="00BD0F5E" w:rsidRPr="00BD0F5E" w:rsidRDefault="00BD0F5E">
      <w:pPr>
        <w:pStyle w:val="FootnoteText"/>
      </w:pPr>
      <w:r>
        <w:rPr>
          <w:rStyle w:val="FootnoteReference"/>
        </w:rPr>
        <w:footnoteRef/>
      </w:r>
      <w:r>
        <w:t xml:space="preserve"> </w:t>
      </w:r>
      <w:r>
        <w:rPr>
          <w:i/>
          <w:iCs/>
        </w:rPr>
        <w:t>Id.</w:t>
      </w:r>
    </w:p>
  </w:footnote>
  <w:footnote w:id="114">
    <w:p w14:paraId="03468B67" w14:textId="19F59111" w:rsidR="004D3C9A" w:rsidRPr="004D3C9A" w:rsidRDefault="004D3C9A">
      <w:pPr>
        <w:pStyle w:val="FootnoteText"/>
      </w:pPr>
      <w:r>
        <w:rPr>
          <w:rStyle w:val="FootnoteReference"/>
        </w:rPr>
        <w:footnoteRef/>
      </w:r>
      <w:r>
        <w:t xml:space="preserve"> </w:t>
      </w:r>
      <w:r>
        <w:rPr>
          <w:i/>
          <w:iCs/>
        </w:rPr>
        <w:t>Id.</w:t>
      </w:r>
    </w:p>
  </w:footnote>
  <w:footnote w:id="115">
    <w:p w14:paraId="6AF39844" w14:textId="062F1E19" w:rsidR="004150B6" w:rsidRPr="004150B6" w:rsidRDefault="004150B6">
      <w:pPr>
        <w:pStyle w:val="FootnoteText"/>
      </w:pPr>
      <w:r>
        <w:rPr>
          <w:rStyle w:val="FootnoteReference"/>
        </w:rPr>
        <w:footnoteRef/>
      </w:r>
      <w:r>
        <w:t xml:space="preserve"> Jen</w:t>
      </w:r>
      <w:r w:rsidR="009461EE">
        <w:t xml:space="preserve"> Carlson</w:t>
      </w:r>
      <w:r>
        <w:t xml:space="preserve">, </w:t>
      </w:r>
      <w:r w:rsidR="001C1F27">
        <w:t>“</w:t>
      </w:r>
      <w:r w:rsidRPr="00A1795A">
        <w:rPr>
          <w:iCs/>
        </w:rPr>
        <w:t>May Has Seen At Least Two Carriage Horse Crashes</w:t>
      </w:r>
      <w:r w:rsidR="001C1F27" w:rsidRPr="00A1795A">
        <w:rPr>
          <w:iCs/>
        </w:rPr>
        <w:t>”</w:t>
      </w:r>
      <w:r>
        <w:rPr>
          <w:i/>
          <w:iCs/>
        </w:rPr>
        <w:t xml:space="preserve"> </w:t>
      </w:r>
      <w:r>
        <w:t xml:space="preserve">Gothamist, </w:t>
      </w:r>
      <w:r w:rsidR="001C1F27">
        <w:t>(</w:t>
      </w:r>
      <w:r>
        <w:t xml:space="preserve">May 13, 2010), </w:t>
      </w:r>
      <w:hyperlink r:id="rId37" w:history="1">
        <w:r w:rsidRPr="00BA1491">
          <w:rPr>
            <w:rStyle w:val="Hyperlink"/>
            <w:rFonts w:ascii="Times New Roman" w:hAnsi="Times New Roman"/>
            <w:sz w:val="20"/>
            <w:szCs w:val="20"/>
          </w:rPr>
          <w:t>https://gothamist.com/news/may-has-seen-at-least-two-carriage-horse-crashes</w:t>
        </w:r>
      </w:hyperlink>
      <w:r>
        <w:t xml:space="preserve">. </w:t>
      </w:r>
    </w:p>
  </w:footnote>
  <w:footnote w:id="116">
    <w:p w14:paraId="202A70D4" w14:textId="4A83CAC2" w:rsidR="00215F17" w:rsidRPr="003838DA" w:rsidRDefault="00215F17">
      <w:pPr>
        <w:pStyle w:val="FootnoteText"/>
      </w:pPr>
      <w:r>
        <w:rPr>
          <w:rStyle w:val="FootnoteReference"/>
        </w:rPr>
        <w:footnoteRef/>
      </w:r>
      <w:r>
        <w:t xml:space="preserve"> </w:t>
      </w:r>
      <w:r w:rsidR="00CD19FB">
        <w:t>William</w:t>
      </w:r>
      <w:r w:rsidR="009461EE">
        <w:t xml:space="preserve"> Neuman</w:t>
      </w:r>
      <w:r w:rsidR="00CD19FB">
        <w:t xml:space="preserve">, </w:t>
      </w:r>
      <w:r w:rsidR="001C1F27">
        <w:t>“</w:t>
      </w:r>
      <w:r w:rsidR="00CF13B8" w:rsidRPr="00A1795A">
        <w:rPr>
          <w:iCs/>
        </w:rPr>
        <w:t>Proponents of Carriage Horse Ban Say They Won’t Try to Unseat de Blasio</w:t>
      </w:r>
      <w:r w:rsidR="001C1F27" w:rsidRPr="00A1795A">
        <w:rPr>
          <w:iCs/>
        </w:rPr>
        <w:t>”</w:t>
      </w:r>
      <w:r w:rsidR="003838DA">
        <w:rPr>
          <w:i/>
          <w:iCs/>
        </w:rPr>
        <w:t xml:space="preserve"> </w:t>
      </w:r>
      <w:r w:rsidR="003838DA">
        <w:t>N</w:t>
      </w:r>
      <w:r w:rsidR="001C1F27">
        <w:t xml:space="preserve">Y </w:t>
      </w:r>
      <w:r w:rsidR="003838DA">
        <w:t xml:space="preserve">Times, </w:t>
      </w:r>
      <w:r w:rsidR="001C1F27">
        <w:t>(</w:t>
      </w:r>
      <w:r w:rsidR="003838DA">
        <w:t xml:space="preserve">May 4, 2017), </w:t>
      </w:r>
      <w:hyperlink r:id="rId38" w:history="1">
        <w:r w:rsidR="003838DA" w:rsidRPr="00BA1491">
          <w:rPr>
            <w:rStyle w:val="Hyperlink"/>
            <w:rFonts w:ascii="Times New Roman" w:hAnsi="Times New Roman"/>
            <w:sz w:val="20"/>
            <w:szCs w:val="20"/>
          </w:rPr>
          <w:t>https://www.nytimes.com/2017/05/04/nyregion/proponents-of-carriage-horse-ban-say-they-wont-try-to-unseat-de-blasio.html</w:t>
        </w:r>
      </w:hyperlink>
      <w:r w:rsidR="003838DA">
        <w:t xml:space="preserve">. </w:t>
      </w:r>
    </w:p>
  </w:footnote>
  <w:footnote w:id="117">
    <w:p w14:paraId="3ABCA47F" w14:textId="58C5BE66" w:rsidR="0004711F" w:rsidRPr="001B6B73" w:rsidRDefault="0004711F">
      <w:pPr>
        <w:pStyle w:val="FootnoteText"/>
      </w:pPr>
      <w:r>
        <w:rPr>
          <w:rStyle w:val="FootnoteReference"/>
        </w:rPr>
        <w:footnoteRef/>
      </w:r>
      <w:r>
        <w:t xml:space="preserve"> </w:t>
      </w:r>
      <w:r w:rsidR="00312B7E">
        <w:t>34 R</w:t>
      </w:r>
      <w:r w:rsidR="00AC65D2">
        <w:t>CNY</w:t>
      </w:r>
      <w:r w:rsidR="00312B7E">
        <w:t xml:space="preserve"> § </w:t>
      </w:r>
      <w:r w:rsidR="00C05BFF">
        <w:t>4-12(t).</w:t>
      </w:r>
      <w:r w:rsidR="001B6B73">
        <w:t xml:space="preserve"> </w:t>
      </w:r>
      <w:r w:rsidR="001B6B73">
        <w:rPr>
          <w:i/>
          <w:iCs/>
        </w:rPr>
        <w:t xml:space="preserve">See also </w:t>
      </w:r>
      <w:r w:rsidR="001B6B73">
        <w:t xml:space="preserve">Calder, Rich, </w:t>
      </w:r>
      <w:r w:rsidR="001C1F27">
        <w:t>“</w:t>
      </w:r>
      <w:r w:rsidR="001B6B73" w:rsidRPr="00A1795A">
        <w:rPr>
          <w:iCs/>
        </w:rPr>
        <w:t>De Blasio wants horse carriage pickups to happen inside Central Park</w:t>
      </w:r>
      <w:r w:rsidR="001C1F27">
        <w:rPr>
          <w:iCs/>
        </w:rPr>
        <w:t>”</w:t>
      </w:r>
      <w:r w:rsidR="001B6B73" w:rsidRPr="00A1795A">
        <w:rPr>
          <w:iCs/>
        </w:rPr>
        <w:t xml:space="preserve"> </w:t>
      </w:r>
      <w:r w:rsidR="001B6B73">
        <w:t xml:space="preserve">NY Post, </w:t>
      </w:r>
      <w:r w:rsidR="001C1F27">
        <w:t>(</w:t>
      </w:r>
      <w:r w:rsidR="001B6B73">
        <w:t>Aug. 30, 2018</w:t>
      </w:r>
      <w:r w:rsidR="00174F46">
        <w:t>, 3:07PM),</w:t>
      </w:r>
      <w:r w:rsidR="001C1F27">
        <w:t xml:space="preserve"> </w:t>
      </w:r>
      <w:r w:rsidR="001C1F27">
        <w:rPr>
          <w:i/>
        </w:rPr>
        <w:t>available at:</w:t>
      </w:r>
      <w:r w:rsidR="00174F46">
        <w:t xml:space="preserve"> </w:t>
      </w:r>
      <w:hyperlink r:id="rId39" w:history="1">
        <w:r w:rsidR="00174F46" w:rsidRPr="00BA1491">
          <w:rPr>
            <w:rStyle w:val="Hyperlink"/>
            <w:rFonts w:ascii="Times New Roman" w:hAnsi="Times New Roman"/>
            <w:sz w:val="20"/>
            <w:szCs w:val="20"/>
          </w:rPr>
          <w:t>https://nypost.com/2018/08/30/de-blasio-wants-horse-carriage-pickups-to-happen-inside-central-park/</w:t>
        </w:r>
      </w:hyperlink>
      <w:r w:rsidR="00174F46">
        <w:t xml:space="preserve">. </w:t>
      </w:r>
    </w:p>
  </w:footnote>
  <w:footnote w:id="118">
    <w:p w14:paraId="7FD20EF9" w14:textId="758536A9" w:rsidR="00384C3D" w:rsidRPr="00384C3D" w:rsidRDefault="00384C3D">
      <w:pPr>
        <w:pStyle w:val="FootnoteText"/>
      </w:pPr>
      <w:r>
        <w:rPr>
          <w:rStyle w:val="FootnoteReference"/>
        </w:rPr>
        <w:footnoteRef/>
      </w:r>
      <w:r w:rsidR="00EE353A">
        <w:t xml:space="preserve"> </w:t>
      </w:r>
      <w:r w:rsidR="00EE353A">
        <w:rPr>
          <w:i/>
          <w:iCs/>
        </w:rPr>
        <w:t xml:space="preserve">See, e.g. </w:t>
      </w:r>
      <w:r w:rsidR="00EE353A">
        <w:t xml:space="preserve">N.Y.C. Bar Association, </w:t>
      </w:r>
      <w:r w:rsidR="00EE353A">
        <w:rPr>
          <w:i/>
          <w:iCs/>
        </w:rPr>
        <w:t>Support for Restrictions on the Working of Carriage Horses in Extreme Heat</w:t>
      </w:r>
      <w:r w:rsidR="00EE353A">
        <w:t xml:space="preserve">, </w:t>
      </w:r>
      <w:hyperlink r:id="rId40" w:history="1">
        <w:r w:rsidR="00960936" w:rsidRPr="00BA1491">
          <w:rPr>
            <w:rStyle w:val="Hyperlink"/>
            <w:rFonts w:ascii="Times New Roman" w:hAnsi="Times New Roman"/>
            <w:sz w:val="20"/>
            <w:szCs w:val="20"/>
          </w:rPr>
          <w:t>https://www.nycbar.org/reports/support-for-restrictions-on-the-working-of-carriage-horses-in-extreme-heat/</w:t>
        </w:r>
      </w:hyperlink>
      <w:r w:rsidR="00960936">
        <w:t xml:space="preserve">. </w:t>
      </w:r>
      <w:r w:rsidR="00960936">
        <w:rPr>
          <w:i/>
          <w:iCs/>
        </w:rPr>
        <w:t xml:space="preserve">See also </w:t>
      </w:r>
      <w:r w:rsidR="00652C0D">
        <w:t xml:space="preserve">Animal Legal Defense Fund, </w:t>
      </w:r>
      <w:r w:rsidR="00652C0D">
        <w:rPr>
          <w:i/>
          <w:iCs/>
        </w:rPr>
        <w:t xml:space="preserve">Strengthening Protections for Carriage Horses Forced to Work in Extreme Heat (NYC), </w:t>
      </w:r>
      <w:hyperlink r:id="rId41" w:history="1">
        <w:r w:rsidR="00790B48" w:rsidRPr="007C59FE">
          <w:rPr>
            <w:rStyle w:val="Hyperlink"/>
            <w:rFonts w:ascii="Times New Roman" w:hAnsi="Times New Roman"/>
            <w:sz w:val="20"/>
            <w:szCs w:val="20"/>
          </w:rPr>
          <w:t>https://aldf.org/project/strengthening-protections-for-carriage-horses-forced-to-work-in-extreme-heat/</w:t>
        </w:r>
      </w:hyperlink>
      <w:r w:rsidR="001405CB">
        <w:t xml:space="preserve">; </w:t>
      </w:r>
      <w:r w:rsidR="001405CB" w:rsidRPr="00FE76AB">
        <w:t>L</w:t>
      </w:r>
      <w:r w:rsidR="001405CB">
        <w:t>.L.</w:t>
      </w:r>
      <w:r w:rsidR="001405CB" w:rsidRPr="00FE76AB">
        <w:t xml:space="preserve"> 203</w:t>
      </w:r>
      <w:r w:rsidR="002D0DC0">
        <w:t>/</w:t>
      </w:r>
      <w:r w:rsidR="001405CB" w:rsidRPr="00FE76AB">
        <w:t>2019</w:t>
      </w:r>
      <w:r w:rsidR="001405CB">
        <w:t xml:space="preserve">. The equine heat index is </w:t>
      </w:r>
      <w:r w:rsidR="001405CB" w:rsidRPr="00384C3D">
        <w:t xml:space="preserve">a measure that </w:t>
      </w:r>
      <w:r w:rsidR="00AC65D2" w:rsidRPr="00384C3D">
        <w:t>considers</w:t>
      </w:r>
      <w:r w:rsidR="001405CB" w:rsidRPr="00384C3D">
        <w:t xml:space="preserve"> both temperature and relative humidity to determine how hot it feels outside</w:t>
      </w:r>
      <w:r w:rsidR="001405CB">
        <w:t xml:space="preserve">. </w:t>
      </w:r>
      <w:r w:rsidR="001405CB" w:rsidRPr="00384C3D">
        <w:t xml:space="preserve">The heat index is calculated using a combination of </w:t>
      </w:r>
      <w:r w:rsidR="001405CB" w:rsidRPr="00933352">
        <w:t>air temperature and relative humidity</w:t>
      </w:r>
      <w:r w:rsidR="001405CB" w:rsidRPr="00384C3D">
        <w:t>, which measures the amount of moisture present in the air.</w:t>
      </w:r>
      <w:r w:rsidR="001405CB">
        <w:t xml:space="preserve"> </w:t>
      </w:r>
      <w:r w:rsidR="001405CB">
        <w:rPr>
          <w:i/>
          <w:iCs/>
        </w:rPr>
        <w:t xml:space="preserve">See </w:t>
      </w:r>
      <w:r w:rsidR="001405CB">
        <w:t xml:space="preserve">U.S. Equestrian, </w:t>
      </w:r>
      <w:r w:rsidR="001405CB">
        <w:rPr>
          <w:i/>
          <w:iCs/>
        </w:rPr>
        <w:t xml:space="preserve">US Equestrian Competition Update: Heat Index </w:t>
      </w:r>
      <w:r w:rsidR="001405CB">
        <w:t xml:space="preserve">(Jun. 25, 2024), </w:t>
      </w:r>
      <w:hyperlink r:id="rId42" w:history="1">
        <w:r w:rsidR="001405CB" w:rsidRPr="00E74D1F">
          <w:rPr>
            <w:rStyle w:val="Hyperlink"/>
            <w:rFonts w:ascii="Times New Roman" w:hAnsi="Times New Roman"/>
            <w:sz w:val="20"/>
            <w:szCs w:val="20"/>
          </w:rPr>
          <w:t>https://www.usef.org/media/press-releases/us-equestrian-competition-update-heat-index</w:t>
        </w:r>
      </w:hyperlink>
      <w:r w:rsidR="001405CB">
        <w:t>.</w:t>
      </w:r>
      <w:r w:rsidR="00790B48" w:rsidRPr="007C59FE">
        <w:t xml:space="preserve"> </w:t>
      </w:r>
    </w:p>
  </w:footnote>
  <w:footnote w:id="119">
    <w:p w14:paraId="5FDF8D67" w14:textId="712ACCC1" w:rsidR="001D253A" w:rsidRDefault="001D253A">
      <w:pPr>
        <w:pStyle w:val="FootnoteText"/>
      </w:pPr>
      <w:r>
        <w:rPr>
          <w:rStyle w:val="FootnoteReference"/>
        </w:rPr>
        <w:footnoteRef/>
      </w:r>
      <w:r>
        <w:t xml:space="preserve"> L.L. 203</w:t>
      </w:r>
      <w:r w:rsidR="00AC65D2">
        <w:t>/</w:t>
      </w:r>
      <w:r>
        <w:t>2019.</w:t>
      </w:r>
    </w:p>
  </w:footnote>
  <w:footnote w:id="120">
    <w:p w14:paraId="41E2BE80" w14:textId="532DA57C" w:rsidR="00894E71" w:rsidRPr="007C59FE" w:rsidRDefault="00894E71">
      <w:pPr>
        <w:pStyle w:val="FootnoteText"/>
        <w:rPr>
          <w:b/>
          <w:bCs/>
        </w:rPr>
      </w:pPr>
      <w:r>
        <w:rPr>
          <w:rStyle w:val="FootnoteReference"/>
        </w:rPr>
        <w:footnoteRef/>
      </w:r>
      <w:r>
        <w:t xml:space="preserve"> </w:t>
      </w:r>
      <w:r w:rsidR="005673DD">
        <w:t>NYC Off</w:t>
      </w:r>
      <w:r w:rsidR="002D0DC0">
        <w:t>ice</w:t>
      </w:r>
      <w:r w:rsidR="005673DD">
        <w:t xml:space="preserve"> </w:t>
      </w:r>
      <w:r w:rsidR="002D0DC0">
        <w:t>o</w:t>
      </w:r>
      <w:r w:rsidR="005673DD">
        <w:t xml:space="preserve">f the Mayor, </w:t>
      </w:r>
      <w:r w:rsidR="002D0DC0">
        <w:t>“</w:t>
      </w:r>
      <w:r w:rsidR="0033270D" w:rsidRPr="00A1795A">
        <w:rPr>
          <w:iCs/>
        </w:rPr>
        <w:t>Mayor Adams Calls on City Council to Ban Horse-Drawn Carriages, Signs Executive Order Strengthening Oversight and Enforcement of Industry and Ensuring City Agencies Are Preparing for Eventual City Council Ban</w:t>
      </w:r>
      <w:r w:rsidR="002D0DC0">
        <w:rPr>
          <w:i/>
          <w:iCs/>
        </w:rPr>
        <w:t>”</w:t>
      </w:r>
      <w:r w:rsidR="0033270D">
        <w:rPr>
          <w:b/>
          <w:bCs/>
        </w:rPr>
        <w:t xml:space="preserve"> </w:t>
      </w:r>
      <w:r w:rsidR="0033270D" w:rsidRPr="007C59FE">
        <w:t xml:space="preserve">(Sept. 17, 2025), </w:t>
      </w:r>
      <w:hyperlink r:id="rId43" w:history="1">
        <w:r w:rsidR="0033270D" w:rsidRPr="0033270D">
          <w:rPr>
            <w:rStyle w:val="Hyperlink"/>
            <w:rFonts w:ascii="Times New Roman" w:hAnsi="Times New Roman"/>
            <w:sz w:val="20"/>
            <w:szCs w:val="20"/>
          </w:rPr>
          <w:t>https://www.nyc.gov/mayors-office/news/2025/09/mayor-adams-calls-on-city-council-to-ban-horse-drawn-carriages--</w:t>
        </w:r>
      </w:hyperlink>
      <w:r w:rsidR="00485F20">
        <w:t xml:space="preserve">; </w:t>
      </w:r>
      <w:r w:rsidR="0019712F">
        <w:t xml:space="preserve">Executive Order No. 56  </w:t>
      </w:r>
      <w:r w:rsidR="0019712F">
        <w:rPr>
          <w:i/>
          <w:iCs/>
        </w:rPr>
        <w:t>Preparing for the Cessation of Horse-Drawn Carriages in New York City</w:t>
      </w:r>
      <w:r w:rsidR="0019712F">
        <w:t>,</w:t>
      </w:r>
      <w:r w:rsidR="002D0DC0" w:rsidRPr="002D0DC0">
        <w:t xml:space="preserve"> </w:t>
      </w:r>
      <w:r w:rsidR="002D0DC0">
        <w:t>(Sept. 17, 2025),</w:t>
      </w:r>
      <w:r w:rsidR="0019712F">
        <w:t xml:space="preserve"> </w:t>
      </w:r>
      <w:hyperlink r:id="rId44" w:history="1">
        <w:r w:rsidR="0019712F" w:rsidRPr="00BA1491">
          <w:rPr>
            <w:rStyle w:val="Hyperlink"/>
            <w:rFonts w:ascii="Times New Roman" w:hAnsi="Times New Roman"/>
            <w:sz w:val="20"/>
            <w:szCs w:val="20"/>
          </w:rPr>
          <w:t>https://www.nyc.gov/content/dam/nycgov/mayors-office/downloads/pdf/executive-orders/2025/eo-56.pdf</w:t>
        </w:r>
      </w:hyperlink>
      <w:r w:rsidR="0019712F">
        <w:t xml:space="preserve">; </w:t>
      </w:r>
      <w:r w:rsidR="002D0DC0">
        <w:t xml:space="preserve">NYC </w:t>
      </w:r>
      <w:r w:rsidR="0019712F">
        <w:t>Off</w:t>
      </w:r>
      <w:r w:rsidR="002D0DC0">
        <w:t>ice</w:t>
      </w:r>
      <w:r w:rsidR="0019712F">
        <w:t xml:space="preserve"> </w:t>
      </w:r>
      <w:r w:rsidR="002D0DC0">
        <w:t>o</w:t>
      </w:r>
      <w:r w:rsidR="0019712F">
        <w:t xml:space="preserve">f the Mayor, </w:t>
      </w:r>
      <w:r w:rsidR="0019712F">
        <w:rPr>
          <w:i/>
          <w:iCs/>
        </w:rPr>
        <w:t>Letter of Necessity re Introduction Number 967-2024</w:t>
      </w:r>
      <w:r w:rsidR="0019712F">
        <w:t xml:space="preserve">, </w:t>
      </w:r>
      <w:hyperlink r:id="rId45" w:history="1">
        <w:r w:rsidR="00D07777" w:rsidRPr="00BA1491">
          <w:rPr>
            <w:rStyle w:val="Hyperlink"/>
            <w:rFonts w:ascii="Times New Roman" w:hAnsi="Times New Roman"/>
            <w:sz w:val="20"/>
            <w:szCs w:val="20"/>
          </w:rPr>
          <w:t>https://www.nyc.gov/content/dam/nycgov/mayors-office/downloads/pdf/press-releases/2025/letter-of-necessity-int-967-2024-horse-carriages.pdf</w:t>
        </w:r>
      </w:hyperlink>
      <w:r w:rsidR="00D07777">
        <w:t>.</w:t>
      </w:r>
      <w:r w:rsidR="005673DD">
        <w:t xml:space="preserve"> </w:t>
      </w:r>
    </w:p>
  </w:footnote>
  <w:footnote w:id="121">
    <w:p w14:paraId="754C0FB0" w14:textId="3443E9C7" w:rsidR="00827A8F" w:rsidRDefault="00827A8F">
      <w:pPr>
        <w:pStyle w:val="FootnoteText"/>
      </w:pPr>
      <w:r>
        <w:rPr>
          <w:rStyle w:val="FootnoteReference"/>
        </w:rPr>
        <w:footnoteRef/>
      </w:r>
      <w:r>
        <w:t xml:space="preserve"> </w:t>
      </w:r>
      <w:r w:rsidR="002D0DC0">
        <w:t xml:space="preserve">NYC </w:t>
      </w:r>
      <w:r>
        <w:t>Off</w:t>
      </w:r>
      <w:r w:rsidR="002D0DC0">
        <w:t>ice</w:t>
      </w:r>
      <w:r>
        <w:t xml:space="preserve"> </w:t>
      </w:r>
      <w:r w:rsidR="002D0DC0">
        <w:t>o</w:t>
      </w:r>
      <w:r>
        <w:t xml:space="preserve">f the Mayor, </w:t>
      </w:r>
      <w:r>
        <w:rPr>
          <w:i/>
          <w:iCs/>
        </w:rPr>
        <w:t>Letter of Necessity re Introduction Number 967-2024</w:t>
      </w:r>
      <w:r>
        <w:t xml:space="preserve">, </w:t>
      </w:r>
      <w:hyperlink r:id="rId46" w:history="1">
        <w:r w:rsidRPr="00BA1491">
          <w:rPr>
            <w:rStyle w:val="Hyperlink"/>
            <w:rFonts w:ascii="Times New Roman" w:hAnsi="Times New Roman"/>
            <w:sz w:val="20"/>
            <w:szCs w:val="20"/>
          </w:rPr>
          <w:t>https://www.nyc.gov/content/dam/nycgov/mayors-office/downloads/pdf/press-releases/2025/letter-of-necessity-int-967-2024-horse-carriages.pdf</w:t>
        </w:r>
      </w:hyperlink>
      <w:r>
        <w:t>.</w:t>
      </w:r>
    </w:p>
  </w:footnote>
  <w:footnote w:id="122">
    <w:p w14:paraId="0B9E5EE5" w14:textId="2D917F79" w:rsidR="00D66CD2" w:rsidRDefault="00D66CD2">
      <w:pPr>
        <w:pStyle w:val="FootnoteText"/>
      </w:pPr>
      <w:r>
        <w:rPr>
          <w:rStyle w:val="FootnoteReference"/>
        </w:rPr>
        <w:footnoteRef/>
      </w:r>
      <w:r>
        <w:t xml:space="preserve"> </w:t>
      </w:r>
      <w:r w:rsidR="006B66D5">
        <w:t>NYC Council</w:t>
      </w:r>
      <w:r w:rsidR="00EC21BD">
        <w:t xml:space="preserve"> Mtng. of the Cmte. on Health (Nov. 14, 2025) on Int. No. 967-2024, </w:t>
      </w:r>
      <w:hyperlink r:id="rId47" w:history="1">
        <w:r w:rsidR="00EC21BD" w:rsidRPr="00BA1491">
          <w:rPr>
            <w:rStyle w:val="Hyperlink"/>
            <w:rFonts w:ascii="Times New Roman" w:hAnsi="Times New Roman"/>
            <w:sz w:val="20"/>
            <w:szCs w:val="20"/>
          </w:rPr>
          <w:t>https://legistar.council.nyc.gov/LegislationDetail.aspx?ID=6730709&amp;GUID=B8A7A0AC-DD58-4517-8DBA-08A36AEFD5ED&amp;Options=&amp;Search=</w:t>
        </w:r>
      </w:hyperlink>
      <w:r w:rsidR="00EC21BD">
        <w:t xml:space="preserve">. </w:t>
      </w:r>
    </w:p>
  </w:footnote>
  <w:footnote w:id="123">
    <w:p w14:paraId="3A8C58E2" w14:textId="3F6BB68E" w:rsidR="000A4891" w:rsidRPr="000A4891" w:rsidRDefault="000A4891">
      <w:pPr>
        <w:pStyle w:val="FootnoteText"/>
      </w:pPr>
      <w:r>
        <w:rPr>
          <w:rStyle w:val="FootnoteReference"/>
        </w:rPr>
        <w:footnoteRef/>
      </w:r>
      <w:r>
        <w:t xml:space="preserve"> </w:t>
      </w:r>
      <w:r>
        <w:rPr>
          <w:i/>
          <w:iCs/>
        </w:rPr>
        <w:t>Id.</w:t>
      </w:r>
    </w:p>
  </w:footnote>
  <w:footnote w:id="124">
    <w:p w14:paraId="78074C5D" w14:textId="5EFE786F" w:rsidR="000A4891" w:rsidRDefault="000A4891">
      <w:pPr>
        <w:pStyle w:val="FootnoteText"/>
      </w:pPr>
      <w:r>
        <w:rPr>
          <w:rStyle w:val="FootnoteReference"/>
        </w:rPr>
        <w:footnoteRef/>
      </w:r>
      <w:r>
        <w:t xml:space="preserve"> Int. No. 943</w:t>
      </w:r>
      <w:r w:rsidR="00AC65D2">
        <w:t>-</w:t>
      </w:r>
      <w:r>
        <w:t>2026</w:t>
      </w:r>
      <w:r w:rsidR="00D64CB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D4820" w14:textId="77777777" w:rsidR="00D54FC6" w:rsidRDefault="00D54FC6"/>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5C38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7E0F41"/>
    <w:multiLevelType w:val="hybridMultilevel"/>
    <w:tmpl w:val="C6AAF0CC"/>
    <w:lvl w:ilvl="0" w:tplc="FFFFFFFF">
      <w:start w:val="1"/>
      <w:numFmt w:val="lowerLetter"/>
      <w:lvlText w:val="%1."/>
      <w:lvlJc w:val="left"/>
      <w:pPr>
        <w:ind w:left="1440" w:hanging="720"/>
      </w:pPr>
    </w:lvl>
    <w:lvl w:ilvl="1" w:tplc="FFFFFFFF">
      <w:start w:val="1"/>
      <w:numFmt w:val="lowerLetter"/>
      <w:lvlText w:val="%2."/>
      <w:lvlJc w:val="left"/>
      <w:pPr>
        <w:ind w:left="6210" w:hanging="360"/>
      </w:pPr>
      <w:rPr>
        <w:b/>
        <w:sz w:val="24"/>
        <w:szCs w:val="24"/>
      </w:rPr>
    </w:lvl>
    <w:lvl w:ilvl="2" w:tplc="FFFFFFFF">
      <w:start w:val="1"/>
      <w:numFmt w:val="lowerRoman"/>
      <w:lvlText w:val="%3."/>
      <w:lvlJc w:val="right"/>
      <w:pPr>
        <w:ind w:left="2520" w:hanging="180"/>
      </w:pPr>
    </w:lvl>
    <w:lvl w:ilvl="3" w:tplc="FFFFFFFF">
      <w:start w:val="1"/>
      <w:numFmt w:val="decimal"/>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A367248"/>
    <w:multiLevelType w:val="hybridMultilevel"/>
    <w:tmpl w:val="012AFACE"/>
    <w:lvl w:ilvl="0" w:tplc="FFFFFFFF">
      <w:start w:val="1"/>
      <w:numFmt w:val="upperRoman"/>
      <w:lvlText w:val="%1."/>
      <w:lvlJc w:val="left"/>
      <w:pPr>
        <w:ind w:left="1080" w:hanging="720"/>
      </w:pPr>
    </w:lvl>
    <w:lvl w:ilvl="1" w:tplc="AB929622">
      <w:start w:val="1"/>
      <w:numFmt w:val="lowerLetter"/>
      <w:lvlText w:val="%2."/>
      <w:lvlJc w:val="left"/>
      <w:pPr>
        <w:ind w:left="5850" w:hanging="360"/>
      </w:pPr>
      <w:rPr>
        <w:b/>
        <w:sz w:val="24"/>
        <w:szCs w:val="24"/>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B06ED"/>
    <w:multiLevelType w:val="hybridMultilevel"/>
    <w:tmpl w:val="C8CCC6FA"/>
    <w:lvl w:ilvl="0" w:tplc="1276870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F96826"/>
    <w:multiLevelType w:val="hybridMultilevel"/>
    <w:tmpl w:val="68307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566785"/>
    <w:multiLevelType w:val="hybridMultilevel"/>
    <w:tmpl w:val="C6AAF0CC"/>
    <w:lvl w:ilvl="0" w:tplc="04090019">
      <w:start w:val="1"/>
      <w:numFmt w:val="lowerLetter"/>
      <w:lvlText w:val="%1."/>
      <w:lvlJc w:val="left"/>
      <w:pPr>
        <w:ind w:left="1440" w:hanging="720"/>
      </w:pPr>
    </w:lvl>
    <w:lvl w:ilvl="1" w:tplc="AB929622">
      <w:start w:val="1"/>
      <w:numFmt w:val="lowerLetter"/>
      <w:lvlText w:val="%2."/>
      <w:lvlJc w:val="left"/>
      <w:pPr>
        <w:ind w:left="6210" w:hanging="360"/>
      </w:pPr>
      <w:rPr>
        <w:b/>
        <w:sz w:val="24"/>
        <w:szCs w:val="24"/>
      </w:rPr>
    </w:lvl>
    <w:lvl w:ilvl="2" w:tplc="0409001B">
      <w:start w:val="1"/>
      <w:numFmt w:val="lowerRoman"/>
      <w:lvlText w:val="%3."/>
      <w:lvlJc w:val="right"/>
      <w:pPr>
        <w:ind w:left="2520" w:hanging="180"/>
      </w:pPr>
    </w:lvl>
    <w:lvl w:ilvl="3" w:tplc="B7501798">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9D4378"/>
    <w:multiLevelType w:val="hybridMultilevel"/>
    <w:tmpl w:val="4BAED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7B2377"/>
    <w:multiLevelType w:val="hybridMultilevel"/>
    <w:tmpl w:val="5614B85C"/>
    <w:lvl w:ilvl="0" w:tplc="B4D866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8113F7"/>
    <w:multiLevelType w:val="hybridMultilevel"/>
    <w:tmpl w:val="500AE774"/>
    <w:lvl w:ilvl="0" w:tplc="04090019">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3E1696"/>
    <w:multiLevelType w:val="hybridMultilevel"/>
    <w:tmpl w:val="D6505DCE"/>
    <w:lvl w:ilvl="0" w:tplc="124EA0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93796"/>
    <w:multiLevelType w:val="hybridMultilevel"/>
    <w:tmpl w:val="36E8E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4C6A8A"/>
    <w:multiLevelType w:val="hybridMultilevel"/>
    <w:tmpl w:val="ABC64DFA"/>
    <w:lvl w:ilvl="0" w:tplc="BEEC1DFA">
      <w:start w:val="1"/>
      <w:numFmt w:val="decimal"/>
      <w:lvlText w:val="%1."/>
      <w:lvlJc w:val="left"/>
      <w:pPr>
        <w:ind w:left="720" w:hanging="360"/>
      </w:pPr>
    </w:lvl>
    <w:lvl w:ilvl="1" w:tplc="88CA3144">
      <w:start w:val="1"/>
      <w:numFmt w:val="lowerLetter"/>
      <w:lvlText w:val="%2."/>
      <w:lvlJc w:val="left"/>
      <w:pPr>
        <w:ind w:left="1440" w:hanging="360"/>
      </w:pPr>
    </w:lvl>
    <w:lvl w:ilvl="2" w:tplc="62469EB4">
      <w:start w:val="1"/>
      <w:numFmt w:val="lowerRoman"/>
      <w:lvlText w:val="%3."/>
      <w:lvlJc w:val="right"/>
      <w:pPr>
        <w:ind w:left="2160" w:hanging="180"/>
      </w:pPr>
    </w:lvl>
    <w:lvl w:ilvl="3" w:tplc="CA8C0C04">
      <w:start w:val="1"/>
      <w:numFmt w:val="decimal"/>
      <w:lvlText w:val="%4."/>
      <w:lvlJc w:val="left"/>
      <w:pPr>
        <w:ind w:left="2880" w:hanging="360"/>
      </w:pPr>
    </w:lvl>
    <w:lvl w:ilvl="4" w:tplc="54407008">
      <w:start w:val="1"/>
      <w:numFmt w:val="lowerLetter"/>
      <w:lvlText w:val="%5."/>
      <w:lvlJc w:val="left"/>
      <w:pPr>
        <w:ind w:left="3600" w:hanging="360"/>
      </w:pPr>
    </w:lvl>
    <w:lvl w:ilvl="5" w:tplc="594C3648">
      <w:start w:val="1"/>
      <w:numFmt w:val="lowerRoman"/>
      <w:lvlText w:val="%6."/>
      <w:lvlJc w:val="right"/>
      <w:pPr>
        <w:ind w:left="4320" w:hanging="180"/>
      </w:pPr>
    </w:lvl>
    <w:lvl w:ilvl="6" w:tplc="F76C814C">
      <w:start w:val="1"/>
      <w:numFmt w:val="decimal"/>
      <w:lvlText w:val="%7."/>
      <w:lvlJc w:val="left"/>
      <w:pPr>
        <w:ind w:left="5040" w:hanging="360"/>
      </w:pPr>
    </w:lvl>
    <w:lvl w:ilvl="7" w:tplc="B1F0D690">
      <w:start w:val="1"/>
      <w:numFmt w:val="lowerLetter"/>
      <w:lvlText w:val="%8."/>
      <w:lvlJc w:val="left"/>
      <w:pPr>
        <w:ind w:left="5760" w:hanging="360"/>
      </w:pPr>
    </w:lvl>
    <w:lvl w:ilvl="8" w:tplc="FCC005AC">
      <w:start w:val="1"/>
      <w:numFmt w:val="lowerRoman"/>
      <w:lvlText w:val="%9."/>
      <w:lvlJc w:val="right"/>
      <w:pPr>
        <w:ind w:left="6480" w:hanging="180"/>
      </w:pPr>
    </w:lvl>
  </w:abstractNum>
  <w:abstractNum w:abstractNumId="12" w15:restartNumberingAfterBreak="0">
    <w:nsid w:val="64BB22C4"/>
    <w:multiLevelType w:val="hybridMultilevel"/>
    <w:tmpl w:val="1086496A"/>
    <w:lvl w:ilvl="0" w:tplc="E42266FA">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9A762F"/>
    <w:multiLevelType w:val="hybridMultilevel"/>
    <w:tmpl w:val="21B2FB96"/>
    <w:lvl w:ilvl="0" w:tplc="0E60FD82">
      <w:start w:val="2"/>
      <w:numFmt w:val="lowerLetter"/>
      <w:lvlText w:val="%1."/>
      <w:lvlJc w:val="left"/>
      <w:pPr>
        <w:ind w:left="5850" w:hanging="360"/>
      </w:pPr>
      <w:rPr>
        <w:rFonts w:hint="default"/>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14" w15:restartNumberingAfterBreak="0">
    <w:nsid w:val="6A045794"/>
    <w:multiLevelType w:val="hybridMultilevel"/>
    <w:tmpl w:val="351843CA"/>
    <w:lvl w:ilvl="0" w:tplc="216ED07A">
      <w:start w:val="1"/>
      <w:numFmt w:val="upperRoman"/>
      <w:lvlText w:val="%1."/>
      <w:lvlJc w:val="left"/>
      <w:pPr>
        <w:ind w:left="1080" w:hanging="720"/>
      </w:pPr>
      <w:rPr>
        <w:b/>
        <w:bCs/>
      </w:rPr>
    </w:lvl>
    <w:lvl w:ilvl="1" w:tplc="FFFFFFFF">
      <w:start w:val="1"/>
      <w:numFmt w:val="upperRoman"/>
      <w:lvlText w:val="%2."/>
      <w:lvlJc w:val="left"/>
      <w:pPr>
        <w:ind w:left="5850" w:hanging="360"/>
      </w:pPr>
    </w:lvl>
    <w:lvl w:ilvl="2" w:tplc="334C3CA6">
      <w:start w:val="1"/>
      <w:numFmt w:val="lowerRoman"/>
      <w:lvlText w:val="%3."/>
      <w:lvlJc w:val="right"/>
      <w:pPr>
        <w:ind w:left="1260" w:hanging="180"/>
      </w:pPr>
      <w:rPr>
        <w:b/>
        <w:bCs w:val="0"/>
      </w:rPr>
    </w:lvl>
    <w:lvl w:ilvl="3" w:tplc="B7501798">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E183CE6"/>
    <w:multiLevelType w:val="multilevel"/>
    <w:tmpl w:val="FC5E2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4818208">
    <w:abstractNumId w:val="11"/>
  </w:num>
  <w:num w:numId="2" w16cid:durableId="964196705">
    <w:abstractNumId w:val="3"/>
  </w:num>
  <w:num w:numId="3" w16cid:durableId="1379282810">
    <w:abstractNumId w:val="14"/>
  </w:num>
  <w:num w:numId="4" w16cid:durableId="1595163247">
    <w:abstractNumId w:val="15"/>
  </w:num>
  <w:num w:numId="5" w16cid:durableId="877593788">
    <w:abstractNumId w:val="4"/>
  </w:num>
  <w:num w:numId="6" w16cid:durableId="136076169">
    <w:abstractNumId w:val="2"/>
  </w:num>
  <w:num w:numId="7" w16cid:durableId="572083651">
    <w:abstractNumId w:val="5"/>
  </w:num>
  <w:num w:numId="8" w16cid:durableId="1667319375">
    <w:abstractNumId w:val="10"/>
  </w:num>
  <w:num w:numId="9" w16cid:durableId="505511292">
    <w:abstractNumId w:val="13"/>
  </w:num>
  <w:num w:numId="10" w16cid:durableId="589049929">
    <w:abstractNumId w:val="8"/>
  </w:num>
  <w:num w:numId="11" w16cid:durableId="419982576">
    <w:abstractNumId w:val="1"/>
  </w:num>
  <w:num w:numId="12" w16cid:durableId="1912227746">
    <w:abstractNumId w:val="0"/>
  </w:num>
  <w:num w:numId="13" w16cid:durableId="1712919763">
    <w:abstractNumId w:val="6"/>
  </w:num>
  <w:num w:numId="14" w16cid:durableId="1743405590">
    <w:abstractNumId w:val="12"/>
  </w:num>
  <w:num w:numId="15" w16cid:durableId="981929988">
    <w:abstractNumId w:val="7"/>
  </w:num>
  <w:num w:numId="16" w16cid:durableId="9139746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E5C"/>
    <w:rsid w:val="000005AA"/>
    <w:rsid w:val="00001588"/>
    <w:rsid w:val="0000233B"/>
    <w:rsid w:val="0000236E"/>
    <w:rsid w:val="0000249E"/>
    <w:rsid w:val="00002644"/>
    <w:rsid w:val="00002A42"/>
    <w:rsid w:val="0000327E"/>
    <w:rsid w:val="000034D8"/>
    <w:rsid w:val="00004130"/>
    <w:rsid w:val="00004994"/>
    <w:rsid w:val="00005D67"/>
    <w:rsid w:val="000067AE"/>
    <w:rsid w:val="000070FC"/>
    <w:rsid w:val="00007FA8"/>
    <w:rsid w:val="000102C9"/>
    <w:rsid w:val="00010640"/>
    <w:rsid w:val="000112A9"/>
    <w:rsid w:val="00011907"/>
    <w:rsid w:val="00012F48"/>
    <w:rsid w:val="00013A0D"/>
    <w:rsid w:val="00013D1D"/>
    <w:rsid w:val="00014498"/>
    <w:rsid w:val="00015239"/>
    <w:rsid w:val="00015DE1"/>
    <w:rsid w:val="00015F61"/>
    <w:rsid w:val="00016613"/>
    <w:rsid w:val="00016D34"/>
    <w:rsid w:val="000176CD"/>
    <w:rsid w:val="00020018"/>
    <w:rsid w:val="0002240C"/>
    <w:rsid w:val="00022730"/>
    <w:rsid w:val="00024671"/>
    <w:rsid w:val="000246FC"/>
    <w:rsid w:val="00025D4B"/>
    <w:rsid w:val="000267B6"/>
    <w:rsid w:val="00031149"/>
    <w:rsid w:val="0003176B"/>
    <w:rsid w:val="00031EA8"/>
    <w:rsid w:val="000327E8"/>
    <w:rsid w:val="00032D72"/>
    <w:rsid w:val="000338ED"/>
    <w:rsid w:val="0003481D"/>
    <w:rsid w:val="000350D8"/>
    <w:rsid w:val="00035B4B"/>
    <w:rsid w:val="00036149"/>
    <w:rsid w:val="0003709A"/>
    <w:rsid w:val="0004173D"/>
    <w:rsid w:val="00041A29"/>
    <w:rsid w:val="00043F7F"/>
    <w:rsid w:val="0004428C"/>
    <w:rsid w:val="00044296"/>
    <w:rsid w:val="00044D28"/>
    <w:rsid w:val="0004526E"/>
    <w:rsid w:val="000453E2"/>
    <w:rsid w:val="00045696"/>
    <w:rsid w:val="00046563"/>
    <w:rsid w:val="0004673F"/>
    <w:rsid w:val="00046A4B"/>
    <w:rsid w:val="0004711F"/>
    <w:rsid w:val="00047460"/>
    <w:rsid w:val="00047D77"/>
    <w:rsid w:val="0005144F"/>
    <w:rsid w:val="000517F2"/>
    <w:rsid w:val="00051FA0"/>
    <w:rsid w:val="00052C91"/>
    <w:rsid w:val="00052F51"/>
    <w:rsid w:val="0005417D"/>
    <w:rsid w:val="000547F9"/>
    <w:rsid w:val="000551A3"/>
    <w:rsid w:val="000553CC"/>
    <w:rsid w:val="00055513"/>
    <w:rsid w:val="0005578A"/>
    <w:rsid w:val="00055B3B"/>
    <w:rsid w:val="00055EAA"/>
    <w:rsid w:val="0005640C"/>
    <w:rsid w:val="00057581"/>
    <w:rsid w:val="00060BA1"/>
    <w:rsid w:val="00061CE0"/>
    <w:rsid w:val="00062209"/>
    <w:rsid w:val="0006366E"/>
    <w:rsid w:val="00064031"/>
    <w:rsid w:val="000640EE"/>
    <w:rsid w:val="00064226"/>
    <w:rsid w:val="000642C0"/>
    <w:rsid w:val="000660BF"/>
    <w:rsid w:val="00066504"/>
    <w:rsid w:val="0006658D"/>
    <w:rsid w:val="0006664E"/>
    <w:rsid w:val="00066F30"/>
    <w:rsid w:val="00067DBA"/>
    <w:rsid w:val="00070AC3"/>
    <w:rsid w:val="00070DBE"/>
    <w:rsid w:val="00071344"/>
    <w:rsid w:val="00071AAC"/>
    <w:rsid w:val="00071BD9"/>
    <w:rsid w:val="00071C6B"/>
    <w:rsid w:val="000725FC"/>
    <w:rsid w:val="00073953"/>
    <w:rsid w:val="00074190"/>
    <w:rsid w:val="00074890"/>
    <w:rsid w:val="00074DE3"/>
    <w:rsid w:val="00074DE5"/>
    <w:rsid w:val="00075298"/>
    <w:rsid w:val="00075BE9"/>
    <w:rsid w:val="000760E5"/>
    <w:rsid w:val="00076202"/>
    <w:rsid w:val="00076488"/>
    <w:rsid w:val="0007664B"/>
    <w:rsid w:val="00076A2A"/>
    <w:rsid w:val="00077928"/>
    <w:rsid w:val="00077956"/>
    <w:rsid w:val="00077C9B"/>
    <w:rsid w:val="00081679"/>
    <w:rsid w:val="00081818"/>
    <w:rsid w:val="00081A44"/>
    <w:rsid w:val="00081E84"/>
    <w:rsid w:val="00082513"/>
    <w:rsid w:val="00083813"/>
    <w:rsid w:val="000838BC"/>
    <w:rsid w:val="00083F0F"/>
    <w:rsid w:val="0008403C"/>
    <w:rsid w:val="000847F2"/>
    <w:rsid w:val="00084A7B"/>
    <w:rsid w:val="00084BFC"/>
    <w:rsid w:val="0008589D"/>
    <w:rsid w:val="0008705E"/>
    <w:rsid w:val="000870F1"/>
    <w:rsid w:val="000877E0"/>
    <w:rsid w:val="00091DA6"/>
    <w:rsid w:val="00095454"/>
    <w:rsid w:val="000958D3"/>
    <w:rsid w:val="0009798B"/>
    <w:rsid w:val="00097999"/>
    <w:rsid w:val="000A10EE"/>
    <w:rsid w:val="000A163A"/>
    <w:rsid w:val="000A2D7C"/>
    <w:rsid w:val="000A31AA"/>
    <w:rsid w:val="000A32BD"/>
    <w:rsid w:val="000A34A2"/>
    <w:rsid w:val="000A3FDC"/>
    <w:rsid w:val="000A4891"/>
    <w:rsid w:val="000A5481"/>
    <w:rsid w:val="000A6198"/>
    <w:rsid w:val="000A6DA0"/>
    <w:rsid w:val="000A72E9"/>
    <w:rsid w:val="000A7A63"/>
    <w:rsid w:val="000A7A8C"/>
    <w:rsid w:val="000A7AD5"/>
    <w:rsid w:val="000A7F74"/>
    <w:rsid w:val="000B030D"/>
    <w:rsid w:val="000B052B"/>
    <w:rsid w:val="000B1945"/>
    <w:rsid w:val="000B1B1D"/>
    <w:rsid w:val="000B1C5D"/>
    <w:rsid w:val="000B1C72"/>
    <w:rsid w:val="000B22B7"/>
    <w:rsid w:val="000B236A"/>
    <w:rsid w:val="000B2906"/>
    <w:rsid w:val="000B2C84"/>
    <w:rsid w:val="000B3967"/>
    <w:rsid w:val="000B3B4B"/>
    <w:rsid w:val="000B3B90"/>
    <w:rsid w:val="000B40BF"/>
    <w:rsid w:val="000B4636"/>
    <w:rsid w:val="000B487A"/>
    <w:rsid w:val="000B4EE0"/>
    <w:rsid w:val="000B57DA"/>
    <w:rsid w:val="000B5C59"/>
    <w:rsid w:val="000B5F64"/>
    <w:rsid w:val="000B603C"/>
    <w:rsid w:val="000B6139"/>
    <w:rsid w:val="000B69F3"/>
    <w:rsid w:val="000B6A96"/>
    <w:rsid w:val="000B7268"/>
    <w:rsid w:val="000B7F5F"/>
    <w:rsid w:val="000B7FB2"/>
    <w:rsid w:val="000C05F5"/>
    <w:rsid w:val="000C09DA"/>
    <w:rsid w:val="000C1620"/>
    <w:rsid w:val="000C1B06"/>
    <w:rsid w:val="000C201C"/>
    <w:rsid w:val="000C21BD"/>
    <w:rsid w:val="000C267A"/>
    <w:rsid w:val="000C3248"/>
    <w:rsid w:val="000C3C5E"/>
    <w:rsid w:val="000C4236"/>
    <w:rsid w:val="000C465E"/>
    <w:rsid w:val="000C486F"/>
    <w:rsid w:val="000C4DCC"/>
    <w:rsid w:val="000C5459"/>
    <w:rsid w:val="000C5D12"/>
    <w:rsid w:val="000C6451"/>
    <w:rsid w:val="000C66EE"/>
    <w:rsid w:val="000C77AD"/>
    <w:rsid w:val="000D032C"/>
    <w:rsid w:val="000D0398"/>
    <w:rsid w:val="000D0F75"/>
    <w:rsid w:val="000D1253"/>
    <w:rsid w:val="000D15BE"/>
    <w:rsid w:val="000D19A3"/>
    <w:rsid w:val="000D27D8"/>
    <w:rsid w:val="000D2FF1"/>
    <w:rsid w:val="000D3EAD"/>
    <w:rsid w:val="000D41F5"/>
    <w:rsid w:val="000D432F"/>
    <w:rsid w:val="000D4355"/>
    <w:rsid w:val="000D487E"/>
    <w:rsid w:val="000D4B56"/>
    <w:rsid w:val="000D4E75"/>
    <w:rsid w:val="000D58FE"/>
    <w:rsid w:val="000D5A40"/>
    <w:rsid w:val="000D5ADE"/>
    <w:rsid w:val="000D620A"/>
    <w:rsid w:val="000D65C8"/>
    <w:rsid w:val="000D677A"/>
    <w:rsid w:val="000D6ABF"/>
    <w:rsid w:val="000D6D21"/>
    <w:rsid w:val="000D6D4C"/>
    <w:rsid w:val="000E0AF2"/>
    <w:rsid w:val="000E17B7"/>
    <w:rsid w:val="000E1A2C"/>
    <w:rsid w:val="000E2F69"/>
    <w:rsid w:val="000E3BA1"/>
    <w:rsid w:val="000E4D09"/>
    <w:rsid w:val="000E5722"/>
    <w:rsid w:val="000E69A7"/>
    <w:rsid w:val="000E7D18"/>
    <w:rsid w:val="000F05D6"/>
    <w:rsid w:val="000F091D"/>
    <w:rsid w:val="000F0BA9"/>
    <w:rsid w:val="000F13CC"/>
    <w:rsid w:val="000F183E"/>
    <w:rsid w:val="000F21B9"/>
    <w:rsid w:val="000F3182"/>
    <w:rsid w:val="000F354D"/>
    <w:rsid w:val="000F3BCF"/>
    <w:rsid w:val="000F3CA1"/>
    <w:rsid w:val="000F3D5C"/>
    <w:rsid w:val="000F4662"/>
    <w:rsid w:val="000F5927"/>
    <w:rsid w:val="000F6124"/>
    <w:rsid w:val="000F68AA"/>
    <w:rsid w:val="000F7B71"/>
    <w:rsid w:val="00100017"/>
    <w:rsid w:val="00100601"/>
    <w:rsid w:val="00100E52"/>
    <w:rsid w:val="00101215"/>
    <w:rsid w:val="00101628"/>
    <w:rsid w:val="00101691"/>
    <w:rsid w:val="00101E85"/>
    <w:rsid w:val="0010313A"/>
    <w:rsid w:val="001036ED"/>
    <w:rsid w:val="001041B2"/>
    <w:rsid w:val="0010472B"/>
    <w:rsid w:val="00104865"/>
    <w:rsid w:val="00104BD3"/>
    <w:rsid w:val="001066DD"/>
    <w:rsid w:val="00106749"/>
    <w:rsid w:val="001069BE"/>
    <w:rsid w:val="00106B05"/>
    <w:rsid w:val="001074B6"/>
    <w:rsid w:val="0011071E"/>
    <w:rsid w:val="0011162B"/>
    <w:rsid w:val="00111F29"/>
    <w:rsid w:val="001136F3"/>
    <w:rsid w:val="001146ED"/>
    <w:rsid w:val="00115823"/>
    <w:rsid w:val="00115B45"/>
    <w:rsid w:val="00115DA2"/>
    <w:rsid w:val="0011670F"/>
    <w:rsid w:val="00116B85"/>
    <w:rsid w:val="00116E4A"/>
    <w:rsid w:val="0011724E"/>
    <w:rsid w:val="00120138"/>
    <w:rsid w:val="00121AEA"/>
    <w:rsid w:val="00121F2B"/>
    <w:rsid w:val="001223E9"/>
    <w:rsid w:val="001229E1"/>
    <w:rsid w:val="00122FDC"/>
    <w:rsid w:val="0012301F"/>
    <w:rsid w:val="001231B6"/>
    <w:rsid w:val="001236BD"/>
    <w:rsid w:val="0012442F"/>
    <w:rsid w:val="0012478E"/>
    <w:rsid w:val="001263FE"/>
    <w:rsid w:val="00126C7B"/>
    <w:rsid w:val="00127895"/>
    <w:rsid w:val="00127FF7"/>
    <w:rsid w:val="00130073"/>
    <w:rsid w:val="00130247"/>
    <w:rsid w:val="0013043A"/>
    <w:rsid w:val="00131D73"/>
    <w:rsid w:val="00131FA0"/>
    <w:rsid w:val="00133A32"/>
    <w:rsid w:val="0013540C"/>
    <w:rsid w:val="00136E0E"/>
    <w:rsid w:val="001375DC"/>
    <w:rsid w:val="001405CB"/>
    <w:rsid w:val="00140A86"/>
    <w:rsid w:val="0014161E"/>
    <w:rsid w:val="001425FF"/>
    <w:rsid w:val="00142792"/>
    <w:rsid w:val="001433CA"/>
    <w:rsid w:val="001434B4"/>
    <w:rsid w:val="00143E4C"/>
    <w:rsid w:val="00143F8A"/>
    <w:rsid w:val="00144CDE"/>
    <w:rsid w:val="0014669A"/>
    <w:rsid w:val="0014771B"/>
    <w:rsid w:val="00150187"/>
    <w:rsid w:val="0015095A"/>
    <w:rsid w:val="001509FF"/>
    <w:rsid w:val="00150F81"/>
    <w:rsid w:val="0015216A"/>
    <w:rsid w:val="00153FE3"/>
    <w:rsid w:val="00154B3E"/>
    <w:rsid w:val="00155039"/>
    <w:rsid w:val="001550C6"/>
    <w:rsid w:val="001567AD"/>
    <w:rsid w:val="0015683F"/>
    <w:rsid w:val="00156D3B"/>
    <w:rsid w:val="00156E21"/>
    <w:rsid w:val="0015707A"/>
    <w:rsid w:val="001571EB"/>
    <w:rsid w:val="0016038F"/>
    <w:rsid w:val="00160954"/>
    <w:rsid w:val="0016134C"/>
    <w:rsid w:val="00161539"/>
    <w:rsid w:val="001625E2"/>
    <w:rsid w:val="00162874"/>
    <w:rsid w:val="00162DED"/>
    <w:rsid w:val="00163D96"/>
    <w:rsid w:val="00163F10"/>
    <w:rsid w:val="00163F87"/>
    <w:rsid w:val="00164264"/>
    <w:rsid w:val="00164A94"/>
    <w:rsid w:val="00166085"/>
    <w:rsid w:val="00166341"/>
    <w:rsid w:val="0017074A"/>
    <w:rsid w:val="001714DB"/>
    <w:rsid w:val="00171A1D"/>
    <w:rsid w:val="00172676"/>
    <w:rsid w:val="00172999"/>
    <w:rsid w:val="00172A07"/>
    <w:rsid w:val="00172A29"/>
    <w:rsid w:val="00172B0C"/>
    <w:rsid w:val="00174AC7"/>
    <w:rsid w:val="00174F46"/>
    <w:rsid w:val="00175138"/>
    <w:rsid w:val="00176077"/>
    <w:rsid w:val="00176992"/>
    <w:rsid w:val="001774CB"/>
    <w:rsid w:val="00180513"/>
    <w:rsid w:val="001816E0"/>
    <w:rsid w:val="00181E38"/>
    <w:rsid w:val="0018283D"/>
    <w:rsid w:val="00183326"/>
    <w:rsid w:val="0018365E"/>
    <w:rsid w:val="00183857"/>
    <w:rsid w:val="00183AB7"/>
    <w:rsid w:val="00183B00"/>
    <w:rsid w:val="00184F24"/>
    <w:rsid w:val="00185201"/>
    <w:rsid w:val="001859D5"/>
    <w:rsid w:val="00186298"/>
    <w:rsid w:val="001866DF"/>
    <w:rsid w:val="0018675C"/>
    <w:rsid w:val="00190481"/>
    <w:rsid w:val="0019087D"/>
    <w:rsid w:val="00191CF6"/>
    <w:rsid w:val="001928C0"/>
    <w:rsid w:val="00193566"/>
    <w:rsid w:val="001937AB"/>
    <w:rsid w:val="001937D6"/>
    <w:rsid w:val="00193F0B"/>
    <w:rsid w:val="0019442A"/>
    <w:rsid w:val="00194AFD"/>
    <w:rsid w:val="00194CDD"/>
    <w:rsid w:val="00194ED2"/>
    <w:rsid w:val="001958F1"/>
    <w:rsid w:val="00195C7F"/>
    <w:rsid w:val="00196017"/>
    <w:rsid w:val="0019621F"/>
    <w:rsid w:val="00196287"/>
    <w:rsid w:val="001969B5"/>
    <w:rsid w:val="0019712F"/>
    <w:rsid w:val="00197635"/>
    <w:rsid w:val="001978D9"/>
    <w:rsid w:val="001A2C0B"/>
    <w:rsid w:val="001A3331"/>
    <w:rsid w:val="001A35E7"/>
    <w:rsid w:val="001A44C2"/>
    <w:rsid w:val="001A540E"/>
    <w:rsid w:val="001A5ED5"/>
    <w:rsid w:val="001A6933"/>
    <w:rsid w:val="001A753B"/>
    <w:rsid w:val="001A7AED"/>
    <w:rsid w:val="001B1030"/>
    <w:rsid w:val="001B1CE6"/>
    <w:rsid w:val="001B2282"/>
    <w:rsid w:val="001B3279"/>
    <w:rsid w:val="001B49D9"/>
    <w:rsid w:val="001B50A4"/>
    <w:rsid w:val="001B5F13"/>
    <w:rsid w:val="001B6048"/>
    <w:rsid w:val="001B6B73"/>
    <w:rsid w:val="001B7142"/>
    <w:rsid w:val="001B7308"/>
    <w:rsid w:val="001C02FA"/>
    <w:rsid w:val="001C06EB"/>
    <w:rsid w:val="001C07F7"/>
    <w:rsid w:val="001C0FCA"/>
    <w:rsid w:val="001C19CE"/>
    <w:rsid w:val="001C1F27"/>
    <w:rsid w:val="001C23AD"/>
    <w:rsid w:val="001C354E"/>
    <w:rsid w:val="001C4640"/>
    <w:rsid w:val="001C477F"/>
    <w:rsid w:val="001C6DFA"/>
    <w:rsid w:val="001D0122"/>
    <w:rsid w:val="001D180C"/>
    <w:rsid w:val="001D1CC3"/>
    <w:rsid w:val="001D2087"/>
    <w:rsid w:val="001D248B"/>
    <w:rsid w:val="001D253A"/>
    <w:rsid w:val="001D47F9"/>
    <w:rsid w:val="001D521C"/>
    <w:rsid w:val="001D5562"/>
    <w:rsid w:val="001D55B6"/>
    <w:rsid w:val="001D5AE7"/>
    <w:rsid w:val="001D600E"/>
    <w:rsid w:val="001D6381"/>
    <w:rsid w:val="001D6C83"/>
    <w:rsid w:val="001D70C0"/>
    <w:rsid w:val="001D74E9"/>
    <w:rsid w:val="001D7DBF"/>
    <w:rsid w:val="001E040F"/>
    <w:rsid w:val="001E0569"/>
    <w:rsid w:val="001E24AB"/>
    <w:rsid w:val="001E415A"/>
    <w:rsid w:val="001E430E"/>
    <w:rsid w:val="001E553E"/>
    <w:rsid w:val="001E5ABC"/>
    <w:rsid w:val="001E63E4"/>
    <w:rsid w:val="001E64D2"/>
    <w:rsid w:val="001F0DEB"/>
    <w:rsid w:val="001F1526"/>
    <w:rsid w:val="001F1558"/>
    <w:rsid w:val="001F1B08"/>
    <w:rsid w:val="001F1C59"/>
    <w:rsid w:val="001F348E"/>
    <w:rsid w:val="001F35A1"/>
    <w:rsid w:val="001F3BA3"/>
    <w:rsid w:val="001F3ED0"/>
    <w:rsid w:val="001F4F9D"/>
    <w:rsid w:val="001F54B1"/>
    <w:rsid w:val="001F5FEE"/>
    <w:rsid w:val="001F70D5"/>
    <w:rsid w:val="0020007A"/>
    <w:rsid w:val="0020046B"/>
    <w:rsid w:val="00201C46"/>
    <w:rsid w:val="00201D46"/>
    <w:rsid w:val="002031D4"/>
    <w:rsid w:val="00203411"/>
    <w:rsid w:val="00203CDA"/>
    <w:rsid w:val="00203D01"/>
    <w:rsid w:val="00203D37"/>
    <w:rsid w:val="00203DD6"/>
    <w:rsid w:val="00203EBC"/>
    <w:rsid w:val="00204307"/>
    <w:rsid w:val="002043F3"/>
    <w:rsid w:val="00204A0D"/>
    <w:rsid w:val="00205AA1"/>
    <w:rsid w:val="00205F89"/>
    <w:rsid w:val="00206214"/>
    <w:rsid w:val="00206954"/>
    <w:rsid w:val="002074AC"/>
    <w:rsid w:val="0021091A"/>
    <w:rsid w:val="002114D7"/>
    <w:rsid w:val="00212831"/>
    <w:rsid w:val="002128F7"/>
    <w:rsid w:val="00213112"/>
    <w:rsid w:val="00213438"/>
    <w:rsid w:val="00214636"/>
    <w:rsid w:val="00214C46"/>
    <w:rsid w:val="00214EA0"/>
    <w:rsid w:val="00215F17"/>
    <w:rsid w:val="002168E9"/>
    <w:rsid w:val="00216C7C"/>
    <w:rsid w:val="00217213"/>
    <w:rsid w:val="00217381"/>
    <w:rsid w:val="002175F5"/>
    <w:rsid w:val="00220B45"/>
    <w:rsid w:val="0022106E"/>
    <w:rsid w:val="0022142F"/>
    <w:rsid w:val="0022157F"/>
    <w:rsid w:val="00221E83"/>
    <w:rsid w:val="00222A0F"/>
    <w:rsid w:val="0022442F"/>
    <w:rsid w:val="002248D1"/>
    <w:rsid w:val="0022523C"/>
    <w:rsid w:val="002255D6"/>
    <w:rsid w:val="00226752"/>
    <w:rsid w:val="002302EB"/>
    <w:rsid w:val="002308E3"/>
    <w:rsid w:val="00230C0B"/>
    <w:rsid w:val="002312DC"/>
    <w:rsid w:val="00232150"/>
    <w:rsid w:val="002322C7"/>
    <w:rsid w:val="00232411"/>
    <w:rsid w:val="0023253E"/>
    <w:rsid w:val="00232A9F"/>
    <w:rsid w:val="00232B80"/>
    <w:rsid w:val="00232DA4"/>
    <w:rsid w:val="00233635"/>
    <w:rsid w:val="00233D88"/>
    <w:rsid w:val="00234F4A"/>
    <w:rsid w:val="00235420"/>
    <w:rsid w:val="00235C58"/>
    <w:rsid w:val="00236839"/>
    <w:rsid w:val="0023694C"/>
    <w:rsid w:val="00236FE0"/>
    <w:rsid w:val="0023707F"/>
    <w:rsid w:val="00237CDA"/>
    <w:rsid w:val="00237DCC"/>
    <w:rsid w:val="0024040B"/>
    <w:rsid w:val="002404D0"/>
    <w:rsid w:val="00241336"/>
    <w:rsid w:val="0024349B"/>
    <w:rsid w:val="0024417D"/>
    <w:rsid w:val="0024431D"/>
    <w:rsid w:val="002448CA"/>
    <w:rsid w:val="0024507C"/>
    <w:rsid w:val="0024570D"/>
    <w:rsid w:val="00246216"/>
    <w:rsid w:val="002470EA"/>
    <w:rsid w:val="002505AE"/>
    <w:rsid w:val="00250764"/>
    <w:rsid w:val="002512E9"/>
    <w:rsid w:val="0025170F"/>
    <w:rsid w:val="002517B8"/>
    <w:rsid w:val="002522E7"/>
    <w:rsid w:val="00252F7E"/>
    <w:rsid w:val="00253BEC"/>
    <w:rsid w:val="00254A29"/>
    <w:rsid w:val="00254C8C"/>
    <w:rsid w:val="0025635A"/>
    <w:rsid w:val="0025687C"/>
    <w:rsid w:val="00256B73"/>
    <w:rsid w:val="002602AF"/>
    <w:rsid w:val="00260380"/>
    <w:rsid w:val="00260479"/>
    <w:rsid w:val="00260E41"/>
    <w:rsid w:val="002614FA"/>
    <w:rsid w:val="00262BD8"/>
    <w:rsid w:val="00262C4A"/>
    <w:rsid w:val="002638AC"/>
    <w:rsid w:val="00263941"/>
    <w:rsid w:val="00263F35"/>
    <w:rsid w:val="00263F89"/>
    <w:rsid w:val="00265963"/>
    <w:rsid w:val="00265DAD"/>
    <w:rsid w:val="002664F3"/>
    <w:rsid w:val="00267D39"/>
    <w:rsid w:val="00270610"/>
    <w:rsid w:val="0027153A"/>
    <w:rsid w:val="00272746"/>
    <w:rsid w:val="00272B0D"/>
    <w:rsid w:val="00272C8E"/>
    <w:rsid w:val="0027414C"/>
    <w:rsid w:val="00275E82"/>
    <w:rsid w:val="00277480"/>
    <w:rsid w:val="00277A58"/>
    <w:rsid w:val="002802C4"/>
    <w:rsid w:val="00280578"/>
    <w:rsid w:val="00280BFD"/>
    <w:rsid w:val="00280EDE"/>
    <w:rsid w:val="002819F8"/>
    <w:rsid w:val="00281E47"/>
    <w:rsid w:val="002822FF"/>
    <w:rsid w:val="00282BD7"/>
    <w:rsid w:val="0028374A"/>
    <w:rsid w:val="002842BA"/>
    <w:rsid w:val="00284749"/>
    <w:rsid w:val="00284753"/>
    <w:rsid w:val="00284CA5"/>
    <w:rsid w:val="00285B22"/>
    <w:rsid w:val="00285DC3"/>
    <w:rsid w:val="0028662E"/>
    <w:rsid w:val="00286700"/>
    <w:rsid w:val="00286D58"/>
    <w:rsid w:val="002900C9"/>
    <w:rsid w:val="002905CF"/>
    <w:rsid w:val="00290725"/>
    <w:rsid w:val="00290815"/>
    <w:rsid w:val="00290E74"/>
    <w:rsid w:val="00291114"/>
    <w:rsid w:val="00291530"/>
    <w:rsid w:val="00291E4F"/>
    <w:rsid w:val="00293400"/>
    <w:rsid w:val="0029386A"/>
    <w:rsid w:val="00294EF3"/>
    <w:rsid w:val="0029552C"/>
    <w:rsid w:val="0029584E"/>
    <w:rsid w:val="00295BB6"/>
    <w:rsid w:val="00295E8A"/>
    <w:rsid w:val="0029656E"/>
    <w:rsid w:val="002969B5"/>
    <w:rsid w:val="00296B3F"/>
    <w:rsid w:val="00296CCC"/>
    <w:rsid w:val="0029739E"/>
    <w:rsid w:val="002A045A"/>
    <w:rsid w:val="002A093A"/>
    <w:rsid w:val="002A0B29"/>
    <w:rsid w:val="002A0F18"/>
    <w:rsid w:val="002A1325"/>
    <w:rsid w:val="002A1357"/>
    <w:rsid w:val="002A29EF"/>
    <w:rsid w:val="002A2BE4"/>
    <w:rsid w:val="002A2EE7"/>
    <w:rsid w:val="002A3580"/>
    <w:rsid w:val="002A37B7"/>
    <w:rsid w:val="002A5334"/>
    <w:rsid w:val="002A54F9"/>
    <w:rsid w:val="002A59AF"/>
    <w:rsid w:val="002A700E"/>
    <w:rsid w:val="002A7406"/>
    <w:rsid w:val="002A7413"/>
    <w:rsid w:val="002B1341"/>
    <w:rsid w:val="002B1575"/>
    <w:rsid w:val="002B24BF"/>
    <w:rsid w:val="002B2529"/>
    <w:rsid w:val="002B2B44"/>
    <w:rsid w:val="002B3599"/>
    <w:rsid w:val="002B448C"/>
    <w:rsid w:val="002B47EB"/>
    <w:rsid w:val="002B496A"/>
    <w:rsid w:val="002B5180"/>
    <w:rsid w:val="002B5F0D"/>
    <w:rsid w:val="002B60B0"/>
    <w:rsid w:val="002B60E0"/>
    <w:rsid w:val="002B6782"/>
    <w:rsid w:val="002B67E3"/>
    <w:rsid w:val="002B736E"/>
    <w:rsid w:val="002B78C1"/>
    <w:rsid w:val="002B7BA2"/>
    <w:rsid w:val="002B7C2B"/>
    <w:rsid w:val="002C011C"/>
    <w:rsid w:val="002C0C3B"/>
    <w:rsid w:val="002C0F7C"/>
    <w:rsid w:val="002C24FA"/>
    <w:rsid w:val="002C2887"/>
    <w:rsid w:val="002C3153"/>
    <w:rsid w:val="002C3154"/>
    <w:rsid w:val="002C3A22"/>
    <w:rsid w:val="002C4026"/>
    <w:rsid w:val="002C4DFF"/>
    <w:rsid w:val="002C4FB5"/>
    <w:rsid w:val="002C5383"/>
    <w:rsid w:val="002C6E6B"/>
    <w:rsid w:val="002D0378"/>
    <w:rsid w:val="002D09F4"/>
    <w:rsid w:val="002D0DC0"/>
    <w:rsid w:val="002D207E"/>
    <w:rsid w:val="002D22A0"/>
    <w:rsid w:val="002D2CE6"/>
    <w:rsid w:val="002D2F83"/>
    <w:rsid w:val="002D3208"/>
    <w:rsid w:val="002D36AA"/>
    <w:rsid w:val="002D36DB"/>
    <w:rsid w:val="002D42A7"/>
    <w:rsid w:val="002D4952"/>
    <w:rsid w:val="002D70AF"/>
    <w:rsid w:val="002D736D"/>
    <w:rsid w:val="002E0975"/>
    <w:rsid w:val="002E15E6"/>
    <w:rsid w:val="002E19FB"/>
    <w:rsid w:val="002E200D"/>
    <w:rsid w:val="002E293A"/>
    <w:rsid w:val="002E297C"/>
    <w:rsid w:val="002E2DDB"/>
    <w:rsid w:val="002E2FF2"/>
    <w:rsid w:val="002E4734"/>
    <w:rsid w:val="002E5340"/>
    <w:rsid w:val="002E547D"/>
    <w:rsid w:val="002E5B32"/>
    <w:rsid w:val="002E624E"/>
    <w:rsid w:val="002E76B3"/>
    <w:rsid w:val="002F0876"/>
    <w:rsid w:val="002F0CF1"/>
    <w:rsid w:val="002F0F31"/>
    <w:rsid w:val="002F144F"/>
    <w:rsid w:val="002F19C5"/>
    <w:rsid w:val="002F22C7"/>
    <w:rsid w:val="002F24EE"/>
    <w:rsid w:val="002F28CB"/>
    <w:rsid w:val="002F2A6C"/>
    <w:rsid w:val="002F38BC"/>
    <w:rsid w:val="002F3C01"/>
    <w:rsid w:val="002F45B2"/>
    <w:rsid w:val="002F4A49"/>
    <w:rsid w:val="002F5367"/>
    <w:rsid w:val="002F5B9C"/>
    <w:rsid w:val="002F6004"/>
    <w:rsid w:val="002F604D"/>
    <w:rsid w:val="002F6440"/>
    <w:rsid w:val="002F6C4A"/>
    <w:rsid w:val="002F72C2"/>
    <w:rsid w:val="002F7B21"/>
    <w:rsid w:val="002F7FA3"/>
    <w:rsid w:val="00300638"/>
    <w:rsid w:val="00301BA9"/>
    <w:rsid w:val="003050A0"/>
    <w:rsid w:val="003061F8"/>
    <w:rsid w:val="003064A3"/>
    <w:rsid w:val="00306EA2"/>
    <w:rsid w:val="00307310"/>
    <w:rsid w:val="0030763C"/>
    <w:rsid w:val="003076B7"/>
    <w:rsid w:val="00307841"/>
    <w:rsid w:val="00310296"/>
    <w:rsid w:val="003106AB"/>
    <w:rsid w:val="0031072C"/>
    <w:rsid w:val="0031088F"/>
    <w:rsid w:val="00310EF5"/>
    <w:rsid w:val="00311040"/>
    <w:rsid w:val="003112F4"/>
    <w:rsid w:val="003115D1"/>
    <w:rsid w:val="0031244B"/>
    <w:rsid w:val="00312AD2"/>
    <w:rsid w:val="00312B7E"/>
    <w:rsid w:val="003131EA"/>
    <w:rsid w:val="00313674"/>
    <w:rsid w:val="00313FB4"/>
    <w:rsid w:val="0031680A"/>
    <w:rsid w:val="003170E2"/>
    <w:rsid w:val="00317336"/>
    <w:rsid w:val="0031739A"/>
    <w:rsid w:val="00317DE6"/>
    <w:rsid w:val="00320FAD"/>
    <w:rsid w:val="0032110C"/>
    <w:rsid w:val="00323028"/>
    <w:rsid w:val="00323987"/>
    <w:rsid w:val="00324809"/>
    <w:rsid w:val="00324CE4"/>
    <w:rsid w:val="0032541B"/>
    <w:rsid w:val="003255FE"/>
    <w:rsid w:val="00325CA2"/>
    <w:rsid w:val="0032603B"/>
    <w:rsid w:val="003272A0"/>
    <w:rsid w:val="00327908"/>
    <w:rsid w:val="0033010D"/>
    <w:rsid w:val="003316D8"/>
    <w:rsid w:val="00332211"/>
    <w:rsid w:val="0033270D"/>
    <w:rsid w:val="00333058"/>
    <w:rsid w:val="0033322F"/>
    <w:rsid w:val="00333360"/>
    <w:rsid w:val="00333C66"/>
    <w:rsid w:val="00334093"/>
    <w:rsid w:val="00334297"/>
    <w:rsid w:val="0033546A"/>
    <w:rsid w:val="00335532"/>
    <w:rsid w:val="003365C5"/>
    <w:rsid w:val="0033699B"/>
    <w:rsid w:val="003370E1"/>
    <w:rsid w:val="00337284"/>
    <w:rsid w:val="003404B4"/>
    <w:rsid w:val="003409F9"/>
    <w:rsid w:val="00341259"/>
    <w:rsid w:val="003416A1"/>
    <w:rsid w:val="003423EA"/>
    <w:rsid w:val="00342560"/>
    <w:rsid w:val="00342CA1"/>
    <w:rsid w:val="00343F78"/>
    <w:rsid w:val="00344223"/>
    <w:rsid w:val="00344612"/>
    <w:rsid w:val="00344877"/>
    <w:rsid w:val="0034513A"/>
    <w:rsid w:val="003460FB"/>
    <w:rsid w:val="00346D71"/>
    <w:rsid w:val="0034725B"/>
    <w:rsid w:val="00351375"/>
    <w:rsid w:val="00351DCA"/>
    <w:rsid w:val="00351F7A"/>
    <w:rsid w:val="00351F93"/>
    <w:rsid w:val="00352852"/>
    <w:rsid w:val="003528B0"/>
    <w:rsid w:val="00352C14"/>
    <w:rsid w:val="0035390B"/>
    <w:rsid w:val="00353A74"/>
    <w:rsid w:val="00354D90"/>
    <w:rsid w:val="003552AB"/>
    <w:rsid w:val="003559FC"/>
    <w:rsid w:val="00355FBC"/>
    <w:rsid w:val="00357C21"/>
    <w:rsid w:val="00357F19"/>
    <w:rsid w:val="00360360"/>
    <w:rsid w:val="00361121"/>
    <w:rsid w:val="003611D3"/>
    <w:rsid w:val="003617E0"/>
    <w:rsid w:val="00361A99"/>
    <w:rsid w:val="00361C0C"/>
    <w:rsid w:val="00361C8B"/>
    <w:rsid w:val="00361CFA"/>
    <w:rsid w:val="003628E2"/>
    <w:rsid w:val="0036360A"/>
    <w:rsid w:val="00363D78"/>
    <w:rsid w:val="003644D4"/>
    <w:rsid w:val="0036451C"/>
    <w:rsid w:val="0036542E"/>
    <w:rsid w:val="0036597B"/>
    <w:rsid w:val="00365DAA"/>
    <w:rsid w:val="00365E45"/>
    <w:rsid w:val="00366166"/>
    <w:rsid w:val="00370B02"/>
    <w:rsid w:val="00370CE5"/>
    <w:rsid w:val="00370D44"/>
    <w:rsid w:val="0037138D"/>
    <w:rsid w:val="00371DFD"/>
    <w:rsid w:val="003722AE"/>
    <w:rsid w:val="003736C2"/>
    <w:rsid w:val="00373C77"/>
    <w:rsid w:val="00374584"/>
    <w:rsid w:val="00374C65"/>
    <w:rsid w:val="003752F7"/>
    <w:rsid w:val="00375E63"/>
    <w:rsid w:val="003765DC"/>
    <w:rsid w:val="003809AB"/>
    <w:rsid w:val="00381999"/>
    <w:rsid w:val="00382547"/>
    <w:rsid w:val="00382CEE"/>
    <w:rsid w:val="003835EB"/>
    <w:rsid w:val="003838DA"/>
    <w:rsid w:val="00384721"/>
    <w:rsid w:val="00384C3D"/>
    <w:rsid w:val="00384E2A"/>
    <w:rsid w:val="00387C8D"/>
    <w:rsid w:val="0039044A"/>
    <w:rsid w:val="00391AA0"/>
    <w:rsid w:val="0039343F"/>
    <w:rsid w:val="00394839"/>
    <w:rsid w:val="00394855"/>
    <w:rsid w:val="003949FC"/>
    <w:rsid w:val="00394BB6"/>
    <w:rsid w:val="00394D68"/>
    <w:rsid w:val="00394DD2"/>
    <w:rsid w:val="00395226"/>
    <w:rsid w:val="00395B69"/>
    <w:rsid w:val="0039666E"/>
    <w:rsid w:val="00397469"/>
    <w:rsid w:val="003A0132"/>
    <w:rsid w:val="003A14D7"/>
    <w:rsid w:val="003A1598"/>
    <w:rsid w:val="003A16FD"/>
    <w:rsid w:val="003A2055"/>
    <w:rsid w:val="003A23A2"/>
    <w:rsid w:val="003A2640"/>
    <w:rsid w:val="003A32F6"/>
    <w:rsid w:val="003A3946"/>
    <w:rsid w:val="003A3A81"/>
    <w:rsid w:val="003A576B"/>
    <w:rsid w:val="003A6301"/>
    <w:rsid w:val="003A6339"/>
    <w:rsid w:val="003A6E29"/>
    <w:rsid w:val="003A6F3B"/>
    <w:rsid w:val="003A718C"/>
    <w:rsid w:val="003A7C11"/>
    <w:rsid w:val="003B087A"/>
    <w:rsid w:val="003B08D0"/>
    <w:rsid w:val="003B0F96"/>
    <w:rsid w:val="003B28B5"/>
    <w:rsid w:val="003B2E29"/>
    <w:rsid w:val="003B35E6"/>
    <w:rsid w:val="003B4BC4"/>
    <w:rsid w:val="003B562F"/>
    <w:rsid w:val="003B57A5"/>
    <w:rsid w:val="003B58AF"/>
    <w:rsid w:val="003B5CC2"/>
    <w:rsid w:val="003B616D"/>
    <w:rsid w:val="003B6810"/>
    <w:rsid w:val="003B70C3"/>
    <w:rsid w:val="003B7570"/>
    <w:rsid w:val="003B7618"/>
    <w:rsid w:val="003B7871"/>
    <w:rsid w:val="003C0264"/>
    <w:rsid w:val="003C076D"/>
    <w:rsid w:val="003C0C05"/>
    <w:rsid w:val="003C1C9F"/>
    <w:rsid w:val="003C337D"/>
    <w:rsid w:val="003C525B"/>
    <w:rsid w:val="003C598F"/>
    <w:rsid w:val="003C5A44"/>
    <w:rsid w:val="003C5B5D"/>
    <w:rsid w:val="003C5E9D"/>
    <w:rsid w:val="003C6657"/>
    <w:rsid w:val="003C7BE8"/>
    <w:rsid w:val="003D0372"/>
    <w:rsid w:val="003D0CCE"/>
    <w:rsid w:val="003D0FBC"/>
    <w:rsid w:val="003D152C"/>
    <w:rsid w:val="003D1BCB"/>
    <w:rsid w:val="003D3902"/>
    <w:rsid w:val="003D4A64"/>
    <w:rsid w:val="003D633C"/>
    <w:rsid w:val="003D7E66"/>
    <w:rsid w:val="003E04DE"/>
    <w:rsid w:val="003E09DD"/>
    <w:rsid w:val="003E1B43"/>
    <w:rsid w:val="003E2668"/>
    <w:rsid w:val="003E2766"/>
    <w:rsid w:val="003E373F"/>
    <w:rsid w:val="003E42B5"/>
    <w:rsid w:val="003E43A2"/>
    <w:rsid w:val="003E443D"/>
    <w:rsid w:val="003E4C89"/>
    <w:rsid w:val="003E4F3C"/>
    <w:rsid w:val="003E507F"/>
    <w:rsid w:val="003E5EBA"/>
    <w:rsid w:val="003E69A4"/>
    <w:rsid w:val="003E713B"/>
    <w:rsid w:val="003E7A38"/>
    <w:rsid w:val="003F06DB"/>
    <w:rsid w:val="003F1310"/>
    <w:rsid w:val="003F1C83"/>
    <w:rsid w:val="003F23D9"/>
    <w:rsid w:val="003F2A75"/>
    <w:rsid w:val="003F3664"/>
    <w:rsid w:val="003F3CA0"/>
    <w:rsid w:val="003F5029"/>
    <w:rsid w:val="003F5271"/>
    <w:rsid w:val="003F54D4"/>
    <w:rsid w:val="003F6D88"/>
    <w:rsid w:val="004004A8"/>
    <w:rsid w:val="00400797"/>
    <w:rsid w:val="00400886"/>
    <w:rsid w:val="004019CB"/>
    <w:rsid w:val="0040231F"/>
    <w:rsid w:val="00402371"/>
    <w:rsid w:val="0040331B"/>
    <w:rsid w:val="004039FB"/>
    <w:rsid w:val="0040421F"/>
    <w:rsid w:val="00404660"/>
    <w:rsid w:val="004052B6"/>
    <w:rsid w:val="004058EF"/>
    <w:rsid w:val="00405B0D"/>
    <w:rsid w:val="0040759A"/>
    <w:rsid w:val="00407D87"/>
    <w:rsid w:val="0041058B"/>
    <w:rsid w:val="0041089D"/>
    <w:rsid w:val="004126D6"/>
    <w:rsid w:val="004127A0"/>
    <w:rsid w:val="00412818"/>
    <w:rsid w:val="004130F5"/>
    <w:rsid w:val="00413C1F"/>
    <w:rsid w:val="00413F41"/>
    <w:rsid w:val="0041415D"/>
    <w:rsid w:val="0041423F"/>
    <w:rsid w:val="004146B9"/>
    <w:rsid w:val="0041484F"/>
    <w:rsid w:val="00414F34"/>
    <w:rsid w:val="004150B6"/>
    <w:rsid w:val="004157EA"/>
    <w:rsid w:val="004158EB"/>
    <w:rsid w:val="00415C97"/>
    <w:rsid w:val="00416339"/>
    <w:rsid w:val="00416A4B"/>
    <w:rsid w:val="00416B19"/>
    <w:rsid w:val="00417B56"/>
    <w:rsid w:val="00420E20"/>
    <w:rsid w:val="00420E45"/>
    <w:rsid w:val="00420F08"/>
    <w:rsid w:val="00421913"/>
    <w:rsid w:val="00421A75"/>
    <w:rsid w:val="0042399A"/>
    <w:rsid w:val="00423C93"/>
    <w:rsid w:val="0042451A"/>
    <w:rsid w:val="00425D8B"/>
    <w:rsid w:val="00425DF7"/>
    <w:rsid w:val="004264BD"/>
    <w:rsid w:val="00426C59"/>
    <w:rsid w:val="00427070"/>
    <w:rsid w:val="00427461"/>
    <w:rsid w:val="004275D3"/>
    <w:rsid w:val="00427678"/>
    <w:rsid w:val="00427684"/>
    <w:rsid w:val="00427F72"/>
    <w:rsid w:val="00430063"/>
    <w:rsid w:val="0043013D"/>
    <w:rsid w:val="004304EF"/>
    <w:rsid w:val="00430795"/>
    <w:rsid w:val="00431CB3"/>
    <w:rsid w:val="00432ACA"/>
    <w:rsid w:val="00432D38"/>
    <w:rsid w:val="00432DA3"/>
    <w:rsid w:val="00433807"/>
    <w:rsid w:val="00434835"/>
    <w:rsid w:val="004356F5"/>
    <w:rsid w:val="004363B9"/>
    <w:rsid w:val="004363CF"/>
    <w:rsid w:val="00436896"/>
    <w:rsid w:val="00436D99"/>
    <w:rsid w:val="00437A91"/>
    <w:rsid w:val="004403CB"/>
    <w:rsid w:val="00441170"/>
    <w:rsid w:val="0044268B"/>
    <w:rsid w:val="00442A37"/>
    <w:rsid w:val="00442C4E"/>
    <w:rsid w:val="00443CE6"/>
    <w:rsid w:val="004440C1"/>
    <w:rsid w:val="00444B05"/>
    <w:rsid w:val="00445107"/>
    <w:rsid w:val="0044511B"/>
    <w:rsid w:val="0044522E"/>
    <w:rsid w:val="00445F4A"/>
    <w:rsid w:val="00446934"/>
    <w:rsid w:val="00446A3E"/>
    <w:rsid w:val="00446AD7"/>
    <w:rsid w:val="00447124"/>
    <w:rsid w:val="0044764E"/>
    <w:rsid w:val="00447BF9"/>
    <w:rsid w:val="004507B4"/>
    <w:rsid w:val="00450A41"/>
    <w:rsid w:val="00450DB4"/>
    <w:rsid w:val="00451184"/>
    <w:rsid w:val="00452652"/>
    <w:rsid w:val="00452FA4"/>
    <w:rsid w:val="0045306E"/>
    <w:rsid w:val="004542CA"/>
    <w:rsid w:val="0045442F"/>
    <w:rsid w:val="00455229"/>
    <w:rsid w:val="00455ED4"/>
    <w:rsid w:val="00456BBE"/>
    <w:rsid w:val="00456D4F"/>
    <w:rsid w:val="0046097D"/>
    <w:rsid w:val="00460B32"/>
    <w:rsid w:val="00461988"/>
    <w:rsid w:val="00462015"/>
    <w:rsid w:val="00463779"/>
    <w:rsid w:val="00463E14"/>
    <w:rsid w:val="00464757"/>
    <w:rsid w:val="00464DDF"/>
    <w:rsid w:val="00465907"/>
    <w:rsid w:val="00466318"/>
    <w:rsid w:val="00466BD2"/>
    <w:rsid w:val="004678DE"/>
    <w:rsid w:val="00467971"/>
    <w:rsid w:val="00467A5D"/>
    <w:rsid w:val="0047092D"/>
    <w:rsid w:val="00470E59"/>
    <w:rsid w:val="0047119D"/>
    <w:rsid w:val="00471BB9"/>
    <w:rsid w:val="0047295C"/>
    <w:rsid w:val="00472FE9"/>
    <w:rsid w:val="00473199"/>
    <w:rsid w:val="004748FE"/>
    <w:rsid w:val="00474D9A"/>
    <w:rsid w:val="00476154"/>
    <w:rsid w:val="00476707"/>
    <w:rsid w:val="00476D69"/>
    <w:rsid w:val="0047715E"/>
    <w:rsid w:val="004776DD"/>
    <w:rsid w:val="00477D18"/>
    <w:rsid w:val="0048090B"/>
    <w:rsid w:val="0048156F"/>
    <w:rsid w:val="0048229F"/>
    <w:rsid w:val="00482DCD"/>
    <w:rsid w:val="004836EA"/>
    <w:rsid w:val="00483CB0"/>
    <w:rsid w:val="00483F4F"/>
    <w:rsid w:val="004845EC"/>
    <w:rsid w:val="00484AA1"/>
    <w:rsid w:val="004850B5"/>
    <w:rsid w:val="00485416"/>
    <w:rsid w:val="00485F20"/>
    <w:rsid w:val="00486113"/>
    <w:rsid w:val="004863C6"/>
    <w:rsid w:val="004866E4"/>
    <w:rsid w:val="004867C7"/>
    <w:rsid w:val="00486803"/>
    <w:rsid w:val="00486DB9"/>
    <w:rsid w:val="004879BB"/>
    <w:rsid w:val="00490868"/>
    <w:rsid w:val="00491684"/>
    <w:rsid w:val="00491DC8"/>
    <w:rsid w:val="00492AD0"/>
    <w:rsid w:val="004933B0"/>
    <w:rsid w:val="00493530"/>
    <w:rsid w:val="004948BE"/>
    <w:rsid w:val="00494EA5"/>
    <w:rsid w:val="00494F00"/>
    <w:rsid w:val="0049537D"/>
    <w:rsid w:val="00495AED"/>
    <w:rsid w:val="00497E8B"/>
    <w:rsid w:val="004A08E9"/>
    <w:rsid w:val="004A14B6"/>
    <w:rsid w:val="004A2366"/>
    <w:rsid w:val="004A311D"/>
    <w:rsid w:val="004A3145"/>
    <w:rsid w:val="004A4807"/>
    <w:rsid w:val="004A51B7"/>
    <w:rsid w:val="004A54CC"/>
    <w:rsid w:val="004A6449"/>
    <w:rsid w:val="004A6BE3"/>
    <w:rsid w:val="004A72A3"/>
    <w:rsid w:val="004A76B8"/>
    <w:rsid w:val="004B0065"/>
    <w:rsid w:val="004B0E79"/>
    <w:rsid w:val="004B13E4"/>
    <w:rsid w:val="004B1A0B"/>
    <w:rsid w:val="004B2979"/>
    <w:rsid w:val="004B2D02"/>
    <w:rsid w:val="004B2D2A"/>
    <w:rsid w:val="004B30EF"/>
    <w:rsid w:val="004B321B"/>
    <w:rsid w:val="004B4078"/>
    <w:rsid w:val="004B43FF"/>
    <w:rsid w:val="004B440E"/>
    <w:rsid w:val="004B4ABE"/>
    <w:rsid w:val="004B4B2C"/>
    <w:rsid w:val="004B4F5B"/>
    <w:rsid w:val="004B52BA"/>
    <w:rsid w:val="004B5E49"/>
    <w:rsid w:val="004B6A49"/>
    <w:rsid w:val="004B6D63"/>
    <w:rsid w:val="004B6F80"/>
    <w:rsid w:val="004B756A"/>
    <w:rsid w:val="004C1178"/>
    <w:rsid w:val="004C1182"/>
    <w:rsid w:val="004C226E"/>
    <w:rsid w:val="004C2A35"/>
    <w:rsid w:val="004C3182"/>
    <w:rsid w:val="004C3ED0"/>
    <w:rsid w:val="004C3F66"/>
    <w:rsid w:val="004C40BE"/>
    <w:rsid w:val="004C4CF5"/>
    <w:rsid w:val="004C5696"/>
    <w:rsid w:val="004C5CE3"/>
    <w:rsid w:val="004C5D4C"/>
    <w:rsid w:val="004C5FC1"/>
    <w:rsid w:val="004C67BD"/>
    <w:rsid w:val="004C78BA"/>
    <w:rsid w:val="004C7DDC"/>
    <w:rsid w:val="004D122F"/>
    <w:rsid w:val="004D1604"/>
    <w:rsid w:val="004D164C"/>
    <w:rsid w:val="004D1C39"/>
    <w:rsid w:val="004D1E9F"/>
    <w:rsid w:val="004D204F"/>
    <w:rsid w:val="004D21FD"/>
    <w:rsid w:val="004D225E"/>
    <w:rsid w:val="004D2260"/>
    <w:rsid w:val="004D337D"/>
    <w:rsid w:val="004D33C4"/>
    <w:rsid w:val="004D3C9A"/>
    <w:rsid w:val="004D3FE8"/>
    <w:rsid w:val="004D4D46"/>
    <w:rsid w:val="004D51EA"/>
    <w:rsid w:val="004D558A"/>
    <w:rsid w:val="004D55AF"/>
    <w:rsid w:val="004D5655"/>
    <w:rsid w:val="004D590D"/>
    <w:rsid w:val="004D6345"/>
    <w:rsid w:val="004D75CA"/>
    <w:rsid w:val="004D7B37"/>
    <w:rsid w:val="004E0087"/>
    <w:rsid w:val="004E0B6F"/>
    <w:rsid w:val="004E0EB4"/>
    <w:rsid w:val="004E0FD3"/>
    <w:rsid w:val="004E1596"/>
    <w:rsid w:val="004E1730"/>
    <w:rsid w:val="004E1986"/>
    <w:rsid w:val="004E1A1E"/>
    <w:rsid w:val="004E2CF4"/>
    <w:rsid w:val="004E374C"/>
    <w:rsid w:val="004E4E5E"/>
    <w:rsid w:val="004E579F"/>
    <w:rsid w:val="004E5B27"/>
    <w:rsid w:val="004E6181"/>
    <w:rsid w:val="004E66C4"/>
    <w:rsid w:val="004E6E6C"/>
    <w:rsid w:val="004E7266"/>
    <w:rsid w:val="004E7357"/>
    <w:rsid w:val="004F1ADC"/>
    <w:rsid w:val="004F1FE0"/>
    <w:rsid w:val="004F27F3"/>
    <w:rsid w:val="004F31A0"/>
    <w:rsid w:val="004F409B"/>
    <w:rsid w:val="004F4757"/>
    <w:rsid w:val="004F5D5B"/>
    <w:rsid w:val="004F6364"/>
    <w:rsid w:val="004F7585"/>
    <w:rsid w:val="00500A24"/>
    <w:rsid w:val="00500B09"/>
    <w:rsid w:val="0050126C"/>
    <w:rsid w:val="00501503"/>
    <w:rsid w:val="0050272F"/>
    <w:rsid w:val="00502B1D"/>
    <w:rsid w:val="00503196"/>
    <w:rsid w:val="00504009"/>
    <w:rsid w:val="00504C68"/>
    <w:rsid w:val="00505217"/>
    <w:rsid w:val="005058FE"/>
    <w:rsid w:val="00506D31"/>
    <w:rsid w:val="00507CD6"/>
    <w:rsid w:val="00510988"/>
    <w:rsid w:val="00510A3A"/>
    <w:rsid w:val="00511698"/>
    <w:rsid w:val="00511F9C"/>
    <w:rsid w:val="00512088"/>
    <w:rsid w:val="00512473"/>
    <w:rsid w:val="00512582"/>
    <w:rsid w:val="0051287C"/>
    <w:rsid w:val="00513E10"/>
    <w:rsid w:val="005145DD"/>
    <w:rsid w:val="00514689"/>
    <w:rsid w:val="00514ECE"/>
    <w:rsid w:val="00515BBC"/>
    <w:rsid w:val="00516086"/>
    <w:rsid w:val="0051652C"/>
    <w:rsid w:val="0051671C"/>
    <w:rsid w:val="00517D1B"/>
    <w:rsid w:val="00517F8A"/>
    <w:rsid w:val="00520662"/>
    <w:rsid w:val="00520ED7"/>
    <w:rsid w:val="005210C9"/>
    <w:rsid w:val="0052116A"/>
    <w:rsid w:val="00521C48"/>
    <w:rsid w:val="00522B9F"/>
    <w:rsid w:val="00524B5C"/>
    <w:rsid w:val="00525858"/>
    <w:rsid w:val="00525D5E"/>
    <w:rsid w:val="00526930"/>
    <w:rsid w:val="00526C87"/>
    <w:rsid w:val="00530025"/>
    <w:rsid w:val="0053048A"/>
    <w:rsid w:val="0053058B"/>
    <w:rsid w:val="00530726"/>
    <w:rsid w:val="00531405"/>
    <w:rsid w:val="005315DC"/>
    <w:rsid w:val="005329EF"/>
    <w:rsid w:val="0053348B"/>
    <w:rsid w:val="0053359A"/>
    <w:rsid w:val="00533CBA"/>
    <w:rsid w:val="00535A50"/>
    <w:rsid w:val="00536CEB"/>
    <w:rsid w:val="00540F44"/>
    <w:rsid w:val="00541069"/>
    <w:rsid w:val="0054185E"/>
    <w:rsid w:val="00541937"/>
    <w:rsid w:val="00541BE2"/>
    <w:rsid w:val="00542605"/>
    <w:rsid w:val="00543F1C"/>
    <w:rsid w:val="0054407F"/>
    <w:rsid w:val="0054496E"/>
    <w:rsid w:val="00544DCF"/>
    <w:rsid w:val="00545622"/>
    <w:rsid w:val="0054562C"/>
    <w:rsid w:val="00545A2E"/>
    <w:rsid w:val="00550AEF"/>
    <w:rsid w:val="00551477"/>
    <w:rsid w:val="00551628"/>
    <w:rsid w:val="00551D30"/>
    <w:rsid w:val="00552358"/>
    <w:rsid w:val="00552942"/>
    <w:rsid w:val="00552AE1"/>
    <w:rsid w:val="00552FE9"/>
    <w:rsid w:val="00553255"/>
    <w:rsid w:val="00554CFB"/>
    <w:rsid w:val="00555065"/>
    <w:rsid w:val="005550EB"/>
    <w:rsid w:val="00555864"/>
    <w:rsid w:val="00556854"/>
    <w:rsid w:val="00556ACE"/>
    <w:rsid w:val="00557378"/>
    <w:rsid w:val="00560227"/>
    <w:rsid w:val="0056088E"/>
    <w:rsid w:val="00560EC4"/>
    <w:rsid w:val="0056117E"/>
    <w:rsid w:val="0056256E"/>
    <w:rsid w:val="0056258A"/>
    <w:rsid w:val="005626AD"/>
    <w:rsid w:val="00562C10"/>
    <w:rsid w:val="00562CE1"/>
    <w:rsid w:val="00563E5C"/>
    <w:rsid w:val="0056429B"/>
    <w:rsid w:val="0056429C"/>
    <w:rsid w:val="005647CC"/>
    <w:rsid w:val="00564BF5"/>
    <w:rsid w:val="00565AD4"/>
    <w:rsid w:val="00565D23"/>
    <w:rsid w:val="00565FBB"/>
    <w:rsid w:val="005661B4"/>
    <w:rsid w:val="0056657E"/>
    <w:rsid w:val="005673DD"/>
    <w:rsid w:val="00567E7E"/>
    <w:rsid w:val="00570506"/>
    <w:rsid w:val="00570E12"/>
    <w:rsid w:val="00570EF7"/>
    <w:rsid w:val="00572349"/>
    <w:rsid w:val="0057312D"/>
    <w:rsid w:val="005735EB"/>
    <w:rsid w:val="0057444E"/>
    <w:rsid w:val="005745A4"/>
    <w:rsid w:val="00574D25"/>
    <w:rsid w:val="00574F15"/>
    <w:rsid w:val="0057522F"/>
    <w:rsid w:val="00576C56"/>
    <w:rsid w:val="00576ED0"/>
    <w:rsid w:val="00577BC3"/>
    <w:rsid w:val="00580E21"/>
    <w:rsid w:val="005813F0"/>
    <w:rsid w:val="00583316"/>
    <w:rsid w:val="00584344"/>
    <w:rsid w:val="0058441F"/>
    <w:rsid w:val="00584B63"/>
    <w:rsid w:val="005855C0"/>
    <w:rsid w:val="005856B5"/>
    <w:rsid w:val="00585C28"/>
    <w:rsid w:val="00586B55"/>
    <w:rsid w:val="00586D3B"/>
    <w:rsid w:val="00586E67"/>
    <w:rsid w:val="00587241"/>
    <w:rsid w:val="00587D8E"/>
    <w:rsid w:val="00590DBE"/>
    <w:rsid w:val="00590F75"/>
    <w:rsid w:val="00591906"/>
    <w:rsid w:val="0059278C"/>
    <w:rsid w:val="00592A9E"/>
    <w:rsid w:val="0059358E"/>
    <w:rsid w:val="0059380A"/>
    <w:rsid w:val="00594029"/>
    <w:rsid w:val="0059427A"/>
    <w:rsid w:val="00594A03"/>
    <w:rsid w:val="00595168"/>
    <w:rsid w:val="00595622"/>
    <w:rsid w:val="00596709"/>
    <w:rsid w:val="00596FEC"/>
    <w:rsid w:val="0059742D"/>
    <w:rsid w:val="0059763B"/>
    <w:rsid w:val="005A0538"/>
    <w:rsid w:val="005A0A00"/>
    <w:rsid w:val="005A0BF6"/>
    <w:rsid w:val="005A0C48"/>
    <w:rsid w:val="005A2906"/>
    <w:rsid w:val="005A2934"/>
    <w:rsid w:val="005A31EF"/>
    <w:rsid w:val="005A33AD"/>
    <w:rsid w:val="005A39F7"/>
    <w:rsid w:val="005A3A9A"/>
    <w:rsid w:val="005A3E78"/>
    <w:rsid w:val="005A419A"/>
    <w:rsid w:val="005A53FE"/>
    <w:rsid w:val="005A5872"/>
    <w:rsid w:val="005A5A03"/>
    <w:rsid w:val="005A69C0"/>
    <w:rsid w:val="005A6A89"/>
    <w:rsid w:val="005A6ED8"/>
    <w:rsid w:val="005A75C9"/>
    <w:rsid w:val="005A7606"/>
    <w:rsid w:val="005A7FF2"/>
    <w:rsid w:val="005A7FF3"/>
    <w:rsid w:val="005B01EE"/>
    <w:rsid w:val="005B04A4"/>
    <w:rsid w:val="005B069A"/>
    <w:rsid w:val="005B0B8D"/>
    <w:rsid w:val="005B0C1B"/>
    <w:rsid w:val="005B17E8"/>
    <w:rsid w:val="005B1B0D"/>
    <w:rsid w:val="005B2068"/>
    <w:rsid w:val="005B35D5"/>
    <w:rsid w:val="005B375A"/>
    <w:rsid w:val="005B3A49"/>
    <w:rsid w:val="005B4AC5"/>
    <w:rsid w:val="005B4CDF"/>
    <w:rsid w:val="005B4ECA"/>
    <w:rsid w:val="005C0F91"/>
    <w:rsid w:val="005C25E9"/>
    <w:rsid w:val="005C2621"/>
    <w:rsid w:val="005C4B2F"/>
    <w:rsid w:val="005C4CF5"/>
    <w:rsid w:val="005C5F39"/>
    <w:rsid w:val="005C610C"/>
    <w:rsid w:val="005C6B6F"/>
    <w:rsid w:val="005D0A8F"/>
    <w:rsid w:val="005D1DFF"/>
    <w:rsid w:val="005D1EEA"/>
    <w:rsid w:val="005D2B79"/>
    <w:rsid w:val="005D39BF"/>
    <w:rsid w:val="005D441F"/>
    <w:rsid w:val="005D44B8"/>
    <w:rsid w:val="005D45FB"/>
    <w:rsid w:val="005D4A62"/>
    <w:rsid w:val="005D4F06"/>
    <w:rsid w:val="005D53EC"/>
    <w:rsid w:val="005D6252"/>
    <w:rsid w:val="005D6F56"/>
    <w:rsid w:val="005D714A"/>
    <w:rsid w:val="005D7B09"/>
    <w:rsid w:val="005D7C76"/>
    <w:rsid w:val="005E04EA"/>
    <w:rsid w:val="005E08CF"/>
    <w:rsid w:val="005E0909"/>
    <w:rsid w:val="005E13C2"/>
    <w:rsid w:val="005E142C"/>
    <w:rsid w:val="005E2505"/>
    <w:rsid w:val="005E409C"/>
    <w:rsid w:val="005E40EF"/>
    <w:rsid w:val="005E489C"/>
    <w:rsid w:val="005E4AEA"/>
    <w:rsid w:val="005E4ED3"/>
    <w:rsid w:val="005E5E60"/>
    <w:rsid w:val="005F0291"/>
    <w:rsid w:val="005F034F"/>
    <w:rsid w:val="005F0B1D"/>
    <w:rsid w:val="005F1271"/>
    <w:rsid w:val="005F1A5D"/>
    <w:rsid w:val="005F1E59"/>
    <w:rsid w:val="005F230E"/>
    <w:rsid w:val="005F2849"/>
    <w:rsid w:val="005F28F2"/>
    <w:rsid w:val="005F295D"/>
    <w:rsid w:val="005F2B90"/>
    <w:rsid w:val="005F2FD5"/>
    <w:rsid w:val="005F32A8"/>
    <w:rsid w:val="005F365F"/>
    <w:rsid w:val="005F427A"/>
    <w:rsid w:val="005F51E5"/>
    <w:rsid w:val="005F5494"/>
    <w:rsid w:val="005F5C78"/>
    <w:rsid w:val="005F6133"/>
    <w:rsid w:val="005F6B38"/>
    <w:rsid w:val="005F7A09"/>
    <w:rsid w:val="006009E3"/>
    <w:rsid w:val="0060135C"/>
    <w:rsid w:val="00601540"/>
    <w:rsid w:val="006017B3"/>
    <w:rsid w:val="00601F5B"/>
    <w:rsid w:val="0060414C"/>
    <w:rsid w:val="00605B45"/>
    <w:rsid w:val="00605F6A"/>
    <w:rsid w:val="006063BF"/>
    <w:rsid w:val="00607F47"/>
    <w:rsid w:val="0061075E"/>
    <w:rsid w:val="00610BF8"/>
    <w:rsid w:val="00610F31"/>
    <w:rsid w:val="00611263"/>
    <w:rsid w:val="00611424"/>
    <w:rsid w:val="00611A37"/>
    <w:rsid w:val="00612063"/>
    <w:rsid w:val="00612DAB"/>
    <w:rsid w:val="006137C3"/>
    <w:rsid w:val="00614318"/>
    <w:rsid w:val="00614444"/>
    <w:rsid w:val="00615334"/>
    <w:rsid w:val="00615434"/>
    <w:rsid w:val="0062016A"/>
    <w:rsid w:val="00620960"/>
    <w:rsid w:val="0062122A"/>
    <w:rsid w:val="0062158F"/>
    <w:rsid w:val="00623872"/>
    <w:rsid w:val="006239BC"/>
    <w:rsid w:val="00623E95"/>
    <w:rsid w:val="00623EB2"/>
    <w:rsid w:val="0062439F"/>
    <w:rsid w:val="00624432"/>
    <w:rsid w:val="00624C34"/>
    <w:rsid w:val="00624C41"/>
    <w:rsid w:val="00625322"/>
    <w:rsid w:val="00626243"/>
    <w:rsid w:val="00626327"/>
    <w:rsid w:val="00626569"/>
    <w:rsid w:val="00627856"/>
    <w:rsid w:val="00630A5F"/>
    <w:rsid w:val="00630BD0"/>
    <w:rsid w:val="00630EA0"/>
    <w:rsid w:val="0063189A"/>
    <w:rsid w:val="00632E31"/>
    <w:rsid w:val="006336E5"/>
    <w:rsid w:val="006337B4"/>
    <w:rsid w:val="00633DF4"/>
    <w:rsid w:val="00633EAD"/>
    <w:rsid w:val="006340DD"/>
    <w:rsid w:val="0063424C"/>
    <w:rsid w:val="006351E2"/>
    <w:rsid w:val="00635770"/>
    <w:rsid w:val="0063722E"/>
    <w:rsid w:val="00637E5C"/>
    <w:rsid w:val="00640BCF"/>
    <w:rsid w:val="00642632"/>
    <w:rsid w:val="00642FFC"/>
    <w:rsid w:val="00644D29"/>
    <w:rsid w:val="0064506A"/>
    <w:rsid w:val="006452BA"/>
    <w:rsid w:val="00646C33"/>
    <w:rsid w:val="0064721E"/>
    <w:rsid w:val="00647250"/>
    <w:rsid w:val="006508F3"/>
    <w:rsid w:val="00650A8C"/>
    <w:rsid w:val="00650F96"/>
    <w:rsid w:val="00651995"/>
    <w:rsid w:val="00651EBD"/>
    <w:rsid w:val="00651FFD"/>
    <w:rsid w:val="00652976"/>
    <w:rsid w:val="00652C0D"/>
    <w:rsid w:val="00654A0C"/>
    <w:rsid w:val="00654AD5"/>
    <w:rsid w:val="00655026"/>
    <w:rsid w:val="006560A0"/>
    <w:rsid w:val="00656471"/>
    <w:rsid w:val="00656CE5"/>
    <w:rsid w:val="0065700F"/>
    <w:rsid w:val="006575F7"/>
    <w:rsid w:val="00657688"/>
    <w:rsid w:val="006604DF"/>
    <w:rsid w:val="00660AD8"/>
    <w:rsid w:val="00660E36"/>
    <w:rsid w:val="00661012"/>
    <w:rsid w:val="0066213D"/>
    <w:rsid w:val="0066230E"/>
    <w:rsid w:val="00663486"/>
    <w:rsid w:val="00663921"/>
    <w:rsid w:val="00664037"/>
    <w:rsid w:val="006642CA"/>
    <w:rsid w:val="00664DF5"/>
    <w:rsid w:val="00664F89"/>
    <w:rsid w:val="006656DB"/>
    <w:rsid w:val="00665AFD"/>
    <w:rsid w:val="006662E5"/>
    <w:rsid w:val="006663F2"/>
    <w:rsid w:val="00666841"/>
    <w:rsid w:val="0066686B"/>
    <w:rsid w:val="00667167"/>
    <w:rsid w:val="0066732C"/>
    <w:rsid w:val="00667664"/>
    <w:rsid w:val="006705FB"/>
    <w:rsid w:val="00670B70"/>
    <w:rsid w:val="00670DB7"/>
    <w:rsid w:val="0067138B"/>
    <w:rsid w:val="00671E7A"/>
    <w:rsid w:val="00671EA9"/>
    <w:rsid w:val="0067209E"/>
    <w:rsid w:val="006720ED"/>
    <w:rsid w:val="00672A68"/>
    <w:rsid w:val="00672D8A"/>
    <w:rsid w:val="00672F81"/>
    <w:rsid w:val="006731B6"/>
    <w:rsid w:val="0067329A"/>
    <w:rsid w:val="00673377"/>
    <w:rsid w:val="00674107"/>
    <w:rsid w:val="0067462A"/>
    <w:rsid w:val="006749D9"/>
    <w:rsid w:val="006749FA"/>
    <w:rsid w:val="00674B7C"/>
    <w:rsid w:val="00674DBC"/>
    <w:rsid w:val="00675613"/>
    <w:rsid w:val="00675B2A"/>
    <w:rsid w:val="0067713C"/>
    <w:rsid w:val="00677154"/>
    <w:rsid w:val="0067764E"/>
    <w:rsid w:val="006801D3"/>
    <w:rsid w:val="00680473"/>
    <w:rsid w:val="00680541"/>
    <w:rsid w:val="00681790"/>
    <w:rsid w:val="00682126"/>
    <w:rsid w:val="006821A3"/>
    <w:rsid w:val="00682C89"/>
    <w:rsid w:val="00683488"/>
    <w:rsid w:val="006838EC"/>
    <w:rsid w:val="0068496D"/>
    <w:rsid w:val="00685963"/>
    <w:rsid w:val="00685A75"/>
    <w:rsid w:val="00686F07"/>
    <w:rsid w:val="00687343"/>
    <w:rsid w:val="006874E7"/>
    <w:rsid w:val="0069128C"/>
    <w:rsid w:val="0069145B"/>
    <w:rsid w:val="006915A3"/>
    <w:rsid w:val="00691D0D"/>
    <w:rsid w:val="006930F5"/>
    <w:rsid w:val="00694390"/>
    <w:rsid w:val="00695506"/>
    <w:rsid w:val="00695C40"/>
    <w:rsid w:val="00695CFF"/>
    <w:rsid w:val="006966D9"/>
    <w:rsid w:val="00696951"/>
    <w:rsid w:val="00696B30"/>
    <w:rsid w:val="006A0B1C"/>
    <w:rsid w:val="006A1005"/>
    <w:rsid w:val="006A1E87"/>
    <w:rsid w:val="006A26BE"/>
    <w:rsid w:val="006A279B"/>
    <w:rsid w:val="006A2C44"/>
    <w:rsid w:val="006A3311"/>
    <w:rsid w:val="006A3387"/>
    <w:rsid w:val="006A3BB3"/>
    <w:rsid w:val="006A3BB4"/>
    <w:rsid w:val="006A3F8E"/>
    <w:rsid w:val="006A4352"/>
    <w:rsid w:val="006A578C"/>
    <w:rsid w:val="006A5E0C"/>
    <w:rsid w:val="006A6864"/>
    <w:rsid w:val="006A6A09"/>
    <w:rsid w:val="006A723F"/>
    <w:rsid w:val="006A7E48"/>
    <w:rsid w:val="006B10C3"/>
    <w:rsid w:val="006B1636"/>
    <w:rsid w:val="006B19FC"/>
    <w:rsid w:val="006B1E68"/>
    <w:rsid w:val="006B216C"/>
    <w:rsid w:val="006B259B"/>
    <w:rsid w:val="006B3105"/>
    <w:rsid w:val="006B323E"/>
    <w:rsid w:val="006B331E"/>
    <w:rsid w:val="006B3355"/>
    <w:rsid w:val="006B3598"/>
    <w:rsid w:val="006B387C"/>
    <w:rsid w:val="006B43C3"/>
    <w:rsid w:val="006B59B7"/>
    <w:rsid w:val="006B66D5"/>
    <w:rsid w:val="006B6E3E"/>
    <w:rsid w:val="006C052F"/>
    <w:rsid w:val="006C086E"/>
    <w:rsid w:val="006C0AB0"/>
    <w:rsid w:val="006C2455"/>
    <w:rsid w:val="006C37E2"/>
    <w:rsid w:val="006C417D"/>
    <w:rsid w:val="006C4202"/>
    <w:rsid w:val="006C423A"/>
    <w:rsid w:val="006C4EFF"/>
    <w:rsid w:val="006C5AB9"/>
    <w:rsid w:val="006C62E0"/>
    <w:rsid w:val="006C6B46"/>
    <w:rsid w:val="006C6DD6"/>
    <w:rsid w:val="006C70FC"/>
    <w:rsid w:val="006C7243"/>
    <w:rsid w:val="006D214A"/>
    <w:rsid w:val="006D2D18"/>
    <w:rsid w:val="006D384C"/>
    <w:rsid w:val="006D4E88"/>
    <w:rsid w:val="006D5878"/>
    <w:rsid w:val="006D7B53"/>
    <w:rsid w:val="006E034B"/>
    <w:rsid w:val="006E10B4"/>
    <w:rsid w:val="006E204F"/>
    <w:rsid w:val="006E2254"/>
    <w:rsid w:val="006E361F"/>
    <w:rsid w:val="006E52CA"/>
    <w:rsid w:val="006E530B"/>
    <w:rsid w:val="006E643C"/>
    <w:rsid w:val="006E69BC"/>
    <w:rsid w:val="006E6F98"/>
    <w:rsid w:val="006E7677"/>
    <w:rsid w:val="006E7BB1"/>
    <w:rsid w:val="006F1E4B"/>
    <w:rsid w:val="006F24E5"/>
    <w:rsid w:val="006F28A4"/>
    <w:rsid w:val="006F29CC"/>
    <w:rsid w:val="006F3931"/>
    <w:rsid w:val="006F3F5B"/>
    <w:rsid w:val="006F403E"/>
    <w:rsid w:val="006F508A"/>
    <w:rsid w:val="006F55FB"/>
    <w:rsid w:val="006F63AD"/>
    <w:rsid w:val="006F77BC"/>
    <w:rsid w:val="007002FE"/>
    <w:rsid w:val="00700702"/>
    <w:rsid w:val="007012D7"/>
    <w:rsid w:val="0070254C"/>
    <w:rsid w:val="007027BD"/>
    <w:rsid w:val="00703B49"/>
    <w:rsid w:val="00703BDF"/>
    <w:rsid w:val="00703CAC"/>
    <w:rsid w:val="0070469A"/>
    <w:rsid w:val="007066A9"/>
    <w:rsid w:val="00706A4A"/>
    <w:rsid w:val="00707AF4"/>
    <w:rsid w:val="007105B2"/>
    <w:rsid w:val="007119D1"/>
    <w:rsid w:val="00711A62"/>
    <w:rsid w:val="007122C6"/>
    <w:rsid w:val="007124DF"/>
    <w:rsid w:val="007135C5"/>
    <w:rsid w:val="007139F4"/>
    <w:rsid w:val="00714965"/>
    <w:rsid w:val="00715EA1"/>
    <w:rsid w:val="00716634"/>
    <w:rsid w:val="007167A4"/>
    <w:rsid w:val="00716E5C"/>
    <w:rsid w:val="00717743"/>
    <w:rsid w:val="00717BE2"/>
    <w:rsid w:val="0072156B"/>
    <w:rsid w:val="00722139"/>
    <w:rsid w:val="00723428"/>
    <w:rsid w:val="00723803"/>
    <w:rsid w:val="00723F17"/>
    <w:rsid w:val="00723F2C"/>
    <w:rsid w:val="00723FDE"/>
    <w:rsid w:val="007245F8"/>
    <w:rsid w:val="00724D48"/>
    <w:rsid w:val="0072734B"/>
    <w:rsid w:val="00730165"/>
    <w:rsid w:val="007302D7"/>
    <w:rsid w:val="0073033C"/>
    <w:rsid w:val="007306CB"/>
    <w:rsid w:val="00730B02"/>
    <w:rsid w:val="00730BA8"/>
    <w:rsid w:val="00730F1B"/>
    <w:rsid w:val="00731F1D"/>
    <w:rsid w:val="0073238E"/>
    <w:rsid w:val="00732CDF"/>
    <w:rsid w:val="0073368C"/>
    <w:rsid w:val="0073380B"/>
    <w:rsid w:val="007338FF"/>
    <w:rsid w:val="00735208"/>
    <w:rsid w:val="0073546C"/>
    <w:rsid w:val="007355BF"/>
    <w:rsid w:val="00737527"/>
    <w:rsid w:val="00737B6E"/>
    <w:rsid w:val="007406EF"/>
    <w:rsid w:val="00740711"/>
    <w:rsid w:val="007407E8"/>
    <w:rsid w:val="0074080D"/>
    <w:rsid w:val="00740ED7"/>
    <w:rsid w:val="00741542"/>
    <w:rsid w:val="00741731"/>
    <w:rsid w:val="00741FAC"/>
    <w:rsid w:val="00742EDD"/>
    <w:rsid w:val="00742F07"/>
    <w:rsid w:val="00744129"/>
    <w:rsid w:val="00745E57"/>
    <w:rsid w:val="00746E25"/>
    <w:rsid w:val="007471B3"/>
    <w:rsid w:val="00750722"/>
    <w:rsid w:val="00751004"/>
    <w:rsid w:val="00751AD7"/>
    <w:rsid w:val="00751B29"/>
    <w:rsid w:val="00752E05"/>
    <w:rsid w:val="00752F59"/>
    <w:rsid w:val="00753165"/>
    <w:rsid w:val="0075323A"/>
    <w:rsid w:val="007535A2"/>
    <w:rsid w:val="00753931"/>
    <w:rsid w:val="0075406D"/>
    <w:rsid w:val="007540A0"/>
    <w:rsid w:val="00755ED8"/>
    <w:rsid w:val="007560EC"/>
    <w:rsid w:val="007565B0"/>
    <w:rsid w:val="00757754"/>
    <w:rsid w:val="007577E6"/>
    <w:rsid w:val="007607C4"/>
    <w:rsid w:val="00761431"/>
    <w:rsid w:val="00761487"/>
    <w:rsid w:val="0076148D"/>
    <w:rsid w:val="007615DE"/>
    <w:rsid w:val="00761A5B"/>
    <w:rsid w:val="00761F10"/>
    <w:rsid w:val="00762055"/>
    <w:rsid w:val="00762E79"/>
    <w:rsid w:val="00762EDD"/>
    <w:rsid w:val="00762FE8"/>
    <w:rsid w:val="007633A2"/>
    <w:rsid w:val="00764012"/>
    <w:rsid w:val="007644E7"/>
    <w:rsid w:val="00764D95"/>
    <w:rsid w:val="00765944"/>
    <w:rsid w:val="0076658B"/>
    <w:rsid w:val="00766EFA"/>
    <w:rsid w:val="007673D3"/>
    <w:rsid w:val="00767BA4"/>
    <w:rsid w:val="00767D1E"/>
    <w:rsid w:val="007700E2"/>
    <w:rsid w:val="007712F7"/>
    <w:rsid w:val="007721FA"/>
    <w:rsid w:val="00772472"/>
    <w:rsid w:val="00772A30"/>
    <w:rsid w:val="00773061"/>
    <w:rsid w:val="0077309F"/>
    <w:rsid w:val="00773507"/>
    <w:rsid w:val="0077476B"/>
    <w:rsid w:val="00774BF0"/>
    <w:rsid w:val="00775367"/>
    <w:rsid w:val="00775A90"/>
    <w:rsid w:val="00775B1D"/>
    <w:rsid w:val="0077630C"/>
    <w:rsid w:val="00776559"/>
    <w:rsid w:val="00776CA1"/>
    <w:rsid w:val="00777617"/>
    <w:rsid w:val="00777788"/>
    <w:rsid w:val="007779C0"/>
    <w:rsid w:val="007806AE"/>
    <w:rsid w:val="00780D38"/>
    <w:rsid w:val="00781167"/>
    <w:rsid w:val="00781D6D"/>
    <w:rsid w:val="00782897"/>
    <w:rsid w:val="00784152"/>
    <w:rsid w:val="00785A27"/>
    <w:rsid w:val="00785AAA"/>
    <w:rsid w:val="007871BB"/>
    <w:rsid w:val="007875AA"/>
    <w:rsid w:val="00787E1C"/>
    <w:rsid w:val="00790B48"/>
    <w:rsid w:val="007927FC"/>
    <w:rsid w:val="00793AFD"/>
    <w:rsid w:val="00794083"/>
    <w:rsid w:val="00794165"/>
    <w:rsid w:val="007948EC"/>
    <w:rsid w:val="00795365"/>
    <w:rsid w:val="00795664"/>
    <w:rsid w:val="007957EC"/>
    <w:rsid w:val="00795A56"/>
    <w:rsid w:val="00795BA2"/>
    <w:rsid w:val="00797A95"/>
    <w:rsid w:val="007A01C6"/>
    <w:rsid w:val="007A1416"/>
    <w:rsid w:val="007A190D"/>
    <w:rsid w:val="007A1AB7"/>
    <w:rsid w:val="007A1BA1"/>
    <w:rsid w:val="007A2B7C"/>
    <w:rsid w:val="007A4034"/>
    <w:rsid w:val="007A4AF6"/>
    <w:rsid w:val="007A4FA1"/>
    <w:rsid w:val="007A5337"/>
    <w:rsid w:val="007A5435"/>
    <w:rsid w:val="007A61C6"/>
    <w:rsid w:val="007A6E25"/>
    <w:rsid w:val="007A74B0"/>
    <w:rsid w:val="007A78DE"/>
    <w:rsid w:val="007B0828"/>
    <w:rsid w:val="007B0DE5"/>
    <w:rsid w:val="007B13AE"/>
    <w:rsid w:val="007B19A7"/>
    <w:rsid w:val="007B2EFF"/>
    <w:rsid w:val="007B3396"/>
    <w:rsid w:val="007B38C8"/>
    <w:rsid w:val="007B5A99"/>
    <w:rsid w:val="007B6568"/>
    <w:rsid w:val="007B69BF"/>
    <w:rsid w:val="007B77D1"/>
    <w:rsid w:val="007B7B1A"/>
    <w:rsid w:val="007C054B"/>
    <w:rsid w:val="007C0CFF"/>
    <w:rsid w:val="007C1CC9"/>
    <w:rsid w:val="007C2579"/>
    <w:rsid w:val="007C29FD"/>
    <w:rsid w:val="007C2AAA"/>
    <w:rsid w:val="007C2B03"/>
    <w:rsid w:val="007C2D80"/>
    <w:rsid w:val="007C2E0E"/>
    <w:rsid w:val="007C3108"/>
    <w:rsid w:val="007C34B7"/>
    <w:rsid w:val="007C44BF"/>
    <w:rsid w:val="007C59FE"/>
    <w:rsid w:val="007C67F9"/>
    <w:rsid w:val="007C6FDA"/>
    <w:rsid w:val="007C767E"/>
    <w:rsid w:val="007D0EA7"/>
    <w:rsid w:val="007D356D"/>
    <w:rsid w:val="007D3BC5"/>
    <w:rsid w:val="007D4826"/>
    <w:rsid w:val="007D4BB0"/>
    <w:rsid w:val="007D515E"/>
    <w:rsid w:val="007D58EC"/>
    <w:rsid w:val="007D66EA"/>
    <w:rsid w:val="007D6A75"/>
    <w:rsid w:val="007D6B7B"/>
    <w:rsid w:val="007D71DD"/>
    <w:rsid w:val="007D7323"/>
    <w:rsid w:val="007D7479"/>
    <w:rsid w:val="007D7588"/>
    <w:rsid w:val="007D7B14"/>
    <w:rsid w:val="007E0040"/>
    <w:rsid w:val="007E0412"/>
    <w:rsid w:val="007E059A"/>
    <w:rsid w:val="007E076C"/>
    <w:rsid w:val="007E0941"/>
    <w:rsid w:val="007E1101"/>
    <w:rsid w:val="007E1135"/>
    <w:rsid w:val="007E1330"/>
    <w:rsid w:val="007E1C6E"/>
    <w:rsid w:val="007E1DD6"/>
    <w:rsid w:val="007E2349"/>
    <w:rsid w:val="007E2AAD"/>
    <w:rsid w:val="007E2ED8"/>
    <w:rsid w:val="007E2F33"/>
    <w:rsid w:val="007E47C3"/>
    <w:rsid w:val="007E4940"/>
    <w:rsid w:val="007E4976"/>
    <w:rsid w:val="007E517F"/>
    <w:rsid w:val="007E5A6F"/>
    <w:rsid w:val="007E5F15"/>
    <w:rsid w:val="007E684B"/>
    <w:rsid w:val="007E6A9A"/>
    <w:rsid w:val="007E6B78"/>
    <w:rsid w:val="007E6EB8"/>
    <w:rsid w:val="007E7046"/>
    <w:rsid w:val="007E7240"/>
    <w:rsid w:val="007E7611"/>
    <w:rsid w:val="007E779E"/>
    <w:rsid w:val="007F0597"/>
    <w:rsid w:val="007F103B"/>
    <w:rsid w:val="007F13A3"/>
    <w:rsid w:val="007F28B0"/>
    <w:rsid w:val="007F300A"/>
    <w:rsid w:val="007F3122"/>
    <w:rsid w:val="007F3243"/>
    <w:rsid w:val="007F3A22"/>
    <w:rsid w:val="007F3F0A"/>
    <w:rsid w:val="007F4436"/>
    <w:rsid w:val="007F4CBD"/>
    <w:rsid w:val="007F4DB4"/>
    <w:rsid w:val="007F4DED"/>
    <w:rsid w:val="007F5368"/>
    <w:rsid w:val="007F64A2"/>
    <w:rsid w:val="007F7369"/>
    <w:rsid w:val="008001DC"/>
    <w:rsid w:val="00800347"/>
    <w:rsid w:val="008003AA"/>
    <w:rsid w:val="00800AD7"/>
    <w:rsid w:val="00801634"/>
    <w:rsid w:val="008020E2"/>
    <w:rsid w:val="00802100"/>
    <w:rsid w:val="00802562"/>
    <w:rsid w:val="0080277C"/>
    <w:rsid w:val="008027F8"/>
    <w:rsid w:val="008028BC"/>
    <w:rsid w:val="008028E4"/>
    <w:rsid w:val="00802EE3"/>
    <w:rsid w:val="00803668"/>
    <w:rsid w:val="008036C9"/>
    <w:rsid w:val="00803B06"/>
    <w:rsid w:val="00804785"/>
    <w:rsid w:val="008047BF"/>
    <w:rsid w:val="00804B19"/>
    <w:rsid w:val="0080520A"/>
    <w:rsid w:val="008053F1"/>
    <w:rsid w:val="00806150"/>
    <w:rsid w:val="0080622B"/>
    <w:rsid w:val="00806493"/>
    <w:rsid w:val="00806E59"/>
    <w:rsid w:val="0080774A"/>
    <w:rsid w:val="00810565"/>
    <w:rsid w:val="00810AE1"/>
    <w:rsid w:val="00810D74"/>
    <w:rsid w:val="00810D8E"/>
    <w:rsid w:val="00810DA3"/>
    <w:rsid w:val="00810E84"/>
    <w:rsid w:val="008114BD"/>
    <w:rsid w:val="00811B85"/>
    <w:rsid w:val="0081355E"/>
    <w:rsid w:val="008138B9"/>
    <w:rsid w:val="00814110"/>
    <w:rsid w:val="008144FE"/>
    <w:rsid w:val="00814D19"/>
    <w:rsid w:val="0081517F"/>
    <w:rsid w:val="0081568B"/>
    <w:rsid w:val="008159B2"/>
    <w:rsid w:val="008161E9"/>
    <w:rsid w:val="0081667A"/>
    <w:rsid w:val="00817AF0"/>
    <w:rsid w:val="00817C2B"/>
    <w:rsid w:val="0082008B"/>
    <w:rsid w:val="00820E0D"/>
    <w:rsid w:val="00820FB5"/>
    <w:rsid w:val="00821AFA"/>
    <w:rsid w:val="00821DFB"/>
    <w:rsid w:val="00822080"/>
    <w:rsid w:val="008225CE"/>
    <w:rsid w:val="00822ABD"/>
    <w:rsid w:val="00822CCE"/>
    <w:rsid w:val="008241D1"/>
    <w:rsid w:val="00825415"/>
    <w:rsid w:val="00826623"/>
    <w:rsid w:val="00826CB1"/>
    <w:rsid w:val="0082707E"/>
    <w:rsid w:val="0082763F"/>
    <w:rsid w:val="00827A8F"/>
    <w:rsid w:val="00830710"/>
    <w:rsid w:val="008318CB"/>
    <w:rsid w:val="008320BC"/>
    <w:rsid w:val="00832184"/>
    <w:rsid w:val="0083281F"/>
    <w:rsid w:val="008335C0"/>
    <w:rsid w:val="008336B9"/>
    <w:rsid w:val="0083438F"/>
    <w:rsid w:val="0083459A"/>
    <w:rsid w:val="008346BB"/>
    <w:rsid w:val="008353D5"/>
    <w:rsid w:val="008369D4"/>
    <w:rsid w:val="00836B79"/>
    <w:rsid w:val="00836E47"/>
    <w:rsid w:val="00837018"/>
    <w:rsid w:val="00837026"/>
    <w:rsid w:val="0083733A"/>
    <w:rsid w:val="008379E6"/>
    <w:rsid w:val="00837B8E"/>
    <w:rsid w:val="0084063F"/>
    <w:rsid w:val="0084067E"/>
    <w:rsid w:val="00840C56"/>
    <w:rsid w:val="00841790"/>
    <w:rsid w:val="0084200F"/>
    <w:rsid w:val="008440B6"/>
    <w:rsid w:val="008464E8"/>
    <w:rsid w:val="00846910"/>
    <w:rsid w:val="00850B42"/>
    <w:rsid w:val="00850ED2"/>
    <w:rsid w:val="008513EF"/>
    <w:rsid w:val="008514E1"/>
    <w:rsid w:val="008516BB"/>
    <w:rsid w:val="00851884"/>
    <w:rsid w:val="00852325"/>
    <w:rsid w:val="00852C41"/>
    <w:rsid w:val="00853531"/>
    <w:rsid w:val="008545D9"/>
    <w:rsid w:val="0085509F"/>
    <w:rsid w:val="0085567B"/>
    <w:rsid w:val="008557F9"/>
    <w:rsid w:val="008559B4"/>
    <w:rsid w:val="0085612E"/>
    <w:rsid w:val="00856177"/>
    <w:rsid w:val="0085628A"/>
    <w:rsid w:val="00856416"/>
    <w:rsid w:val="00856F24"/>
    <w:rsid w:val="00856F48"/>
    <w:rsid w:val="00857C48"/>
    <w:rsid w:val="00857FF4"/>
    <w:rsid w:val="0086001A"/>
    <w:rsid w:val="0086043E"/>
    <w:rsid w:val="00861164"/>
    <w:rsid w:val="0086146E"/>
    <w:rsid w:val="00861690"/>
    <w:rsid w:val="0086189B"/>
    <w:rsid w:val="008619FC"/>
    <w:rsid w:val="00862C3E"/>
    <w:rsid w:val="00863A83"/>
    <w:rsid w:val="00863BD7"/>
    <w:rsid w:val="00863E4A"/>
    <w:rsid w:val="008650C8"/>
    <w:rsid w:val="0086519A"/>
    <w:rsid w:val="00865441"/>
    <w:rsid w:val="00865EC4"/>
    <w:rsid w:val="008664C7"/>
    <w:rsid w:val="00866728"/>
    <w:rsid w:val="00870004"/>
    <w:rsid w:val="00870125"/>
    <w:rsid w:val="00870484"/>
    <w:rsid w:val="00870C5E"/>
    <w:rsid w:val="00872FDD"/>
    <w:rsid w:val="008733BE"/>
    <w:rsid w:val="00873E6D"/>
    <w:rsid w:val="00874291"/>
    <w:rsid w:val="0087478B"/>
    <w:rsid w:val="00874CB7"/>
    <w:rsid w:val="00875880"/>
    <w:rsid w:val="0087749D"/>
    <w:rsid w:val="0088052B"/>
    <w:rsid w:val="008809F1"/>
    <w:rsid w:val="0088100F"/>
    <w:rsid w:val="0088148B"/>
    <w:rsid w:val="008817F7"/>
    <w:rsid w:val="008818FA"/>
    <w:rsid w:val="008819F7"/>
    <w:rsid w:val="00881D90"/>
    <w:rsid w:val="0088230A"/>
    <w:rsid w:val="00882B6F"/>
    <w:rsid w:val="00882BA3"/>
    <w:rsid w:val="00883361"/>
    <w:rsid w:val="00885B10"/>
    <w:rsid w:val="00886669"/>
    <w:rsid w:val="00890F6D"/>
    <w:rsid w:val="008911C9"/>
    <w:rsid w:val="0089194B"/>
    <w:rsid w:val="00893162"/>
    <w:rsid w:val="00893DCF"/>
    <w:rsid w:val="00894351"/>
    <w:rsid w:val="008948AA"/>
    <w:rsid w:val="00894B76"/>
    <w:rsid w:val="00894E71"/>
    <w:rsid w:val="00896134"/>
    <w:rsid w:val="008965BD"/>
    <w:rsid w:val="0089724A"/>
    <w:rsid w:val="00897592"/>
    <w:rsid w:val="00897883"/>
    <w:rsid w:val="0089798E"/>
    <w:rsid w:val="00897ADB"/>
    <w:rsid w:val="008A0118"/>
    <w:rsid w:val="008A0F86"/>
    <w:rsid w:val="008A12A9"/>
    <w:rsid w:val="008A135E"/>
    <w:rsid w:val="008A13EC"/>
    <w:rsid w:val="008A1836"/>
    <w:rsid w:val="008A1A0C"/>
    <w:rsid w:val="008A21F2"/>
    <w:rsid w:val="008A23B4"/>
    <w:rsid w:val="008A285F"/>
    <w:rsid w:val="008A290F"/>
    <w:rsid w:val="008A3226"/>
    <w:rsid w:val="008A4A0D"/>
    <w:rsid w:val="008A543C"/>
    <w:rsid w:val="008A5A26"/>
    <w:rsid w:val="008A5AC7"/>
    <w:rsid w:val="008A5B60"/>
    <w:rsid w:val="008A5BAE"/>
    <w:rsid w:val="008A5D09"/>
    <w:rsid w:val="008A5D47"/>
    <w:rsid w:val="008A66B5"/>
    <w:rsid w:val="008A6C55"/>
    <w:rsid w:val="008A7B4A"/>
    <w:rsid w:val="008B07A8"/>
    <w:rsid w:val="008B0A7F"/>
    <w:rsid w:val="008B0BB2"/>
    <w:rsid w:val="008B12D2"/>
    <w:rsid w:val="008B183E"/>
    <w:rsid w:val="008B1C24"/>
    <w:rsid w:val="008B27CB"/>
    <w:rsid w:val="008B29CA"/>
    <w:rsid w:val="008B2E61"/>
    <w:rsid w:val="008B2F64"/>
    <w:rsid w:val="008B343D"/>
    <w:rsid w:val="008B3970"/>
    <w:rsid w:val="008B46F9"/>
    <w:rsid w:val="008B4967"/>
    <w:rsid w:val="008B4B7C"/>
    <w:rsid w:val="008B74A8"/>
    <w:rsid w:val="008B7DDA"/>
    <w:rsid w:val="008C096D"/>
    <w:rsid w:val="008C0F56"/>
    <w:rsid w:val="008C23E9"/>
    <w:rsid w:val="008C35A4"/>
    <w:rsid w:val="008C3972"/>
    <w:rsid w:val="008C3AB7"/>
    <w:rsid w:val="008C3AC2"/>
    <w:rsid w:val="008C3C50"/>
    <w:rsid w:val="008C4038"/>
    <w:rsid w:val="008C4960"/>
    <w:rsid w:val="008C5284"/>
    <w:rsid w:val="008C69EA"/>
    <w:rsid w:val="008C6AFD"/>
    <w:rsid w:val="008D012F"/>
    <w:rsid w:val="008D028A"/>
    <w:rsid w:val="008D33F4"/>
    <w:rsid w:val="008D34A0"/>
    <w:rsid w:val="008D3808"/>
    <w:rsid w:val="008D3A8C"/>
    <w:rsid w:val="008D4445"/>
    <w:rsid w:val="008D48F6"/>
    <w:rsid w:val="008D4BF4"/>
    <w:rsid w:val="008D4E81"/>
    <w:rsid w:val="008D501F"/>
    <w:rsid w:val="008D51FD"/>
    <w:rsid w:val="008D5AAC"/>
    <w:rsid w:val="008D618A"/>
    <w:rsid w:val="008D661A"/>
    <w:rsid w:val="008D6F2E"/>
    <w:rsid w:val="008E022C"/>
    <w:rsid w:val="008E0D80"/>
    <w:rsid w:val="008E1A19"/>
    <w:rsid w:val="008E2A8F"/>
    <w:rsid w:val="008E2B8D"/>
    <w:rsid w:val="008E38CA"/>
    <w:rsid w:val="008E3D14"/>
    <w:rsid w:val="008E54AA"/>
    <w:rsid w:val="008E5A41"/>
    <w:rsid w:val="008E64C7"/>
    <w:rsid w:val="008E7A85"/>
    <w:rsid w:val="008F0329"/>
    <w:rsid w:val="008F05B5"/>
    <w:rsid w:val="008F0D8F"/>
    <w:rsid w:val="008F0F86"/>
    <w:rsid w:val="008F20B8"/>
    <w:rsid w:val="008F2313"/>
    <w:rsid w:val="008F2A71"/>
    <w:rsid w:val="008F519B"/>
    <w:rsid w:val="008F5279"/>
    <w:rsid w:val="008F5888"/>
    <w:rsid w:val="008F5964"/>
    <w:rsid w:val="008F5A7B"/>
    <w:rsid w:val="008F5B73"/>
    <w:rsid w:val="008F731A"/>
    <w:rsid w:val="008F75B2"/>
    <w:rsid w:val="008F78DF"/>
    <w:rsid w:val="008F7959"/>
    <w:rsid w:val="008F7E0A"/>
    <w:rsid w:val="00900819"/>
    <w:rsid w:val="0090194C"/>
    <w:rsid w:val="009027A5"/>
    <w:rsid w:val="00902850"/>
    <w:rsid w:val="00902A02"/>
    <w:rsid w:val="0090304E"/>
    <w:rsid w:val="00903912"/>
    <w:rsid w:val="009040E6"/>
    <w:rsid w:val="0090567B"/>
    <w:rsid w:val="009078C9"/>
    <w:rsid w:val="00907ADC"/>
    <w:rsid w:val="00910197"/>
    <w:rsid w:val="00911CD1"/>
    <w:rsid w:val="00912ED1"/>
    <w:rsid w:val="00912FC3"/>
    <w:rsid w:val="00914061"/>
    <w:rsid w:val="0091447B"/>
    <w:rsid w:val="00914B15"/>
    <w:rsid w:val="0091569D"/>
    <w:rsid w:val="00916AEA"/>
    <w:rsid w:val="00916BED"/>
    <w:rsid w:val="00920331"/>
    <w:rsid w:val="00920837"/>
    <w:rsid w:val="00921076"/>
    <w:rsid w:val="0092143D"/>
    <w:rsid w:val="009247ED"/>
    <w:rsid w:val="00925117"/>
    <w:rsid w:val="00927412"/>
    <w:rsid w:val="009276F8"/>
    <w:rsid w:val="0093004B"/>
    <w:rsid w:val="00930115"/>
    <w:rsid w:val="0093013B"/>
    <w:rsid w:val="009312E9"/>
    <w:rsid w:val="009317C2"/>
    <w:rsid w:val="00932B5E"/>
    <w:rsid w:val="00933352"/>
    <w:rsid w:val="009333DD"/>
    <w:rsid w:val="00934F22"/>
    <w:rsid w:val="009359A7"/>
    <w:rsid w:val="00935B87"/>
    <w:rsid w:val="00936408"/>
    <w:rsid w:val="00936DB5"/>
    <w:rsid w:val="00936EFD"/>
    <w:rsid w:val="00937131"/>
    <w:rsid w:val="009376AC"/>
    <w:rsid w:val="009379ED"/>
    <w:rsid w:val="0094136B"/>
    <w:rsid w:val="009419B2"/>
    <w:rsid w:val="0094255B"/>
    <w:rsid w:val="00942B9E"/>
    <w:rsid w:val="009439AA"/>
    <w:rsid w:val="00943A8D"/>
    <w:rsid w:val="00943AAE"/>
    <w:rsid w:val="0094442C"/>
    <w:rsid w:val="00944912"/>
    <w:rsid w:val="00944FBF"/>
    <w:rsid w:val="009461D3"/>
    <w:rsid w:val="009461EE"/>
    <w:rsid w:val="00946C01"/>
    <w:rsid w:val="00946E76"/>
    <w:rsid w:val="0094726A"/>
    <w:rsid w:val="00950D78"/>
    <w:rsid w:val="0095120B"/>
    <w:rsid w:val="00952363"/>
    <w:rsid w:val="009527BA"/>
    <w:rsid w:val="00952D4D"/>
    <w:rsid w:val="00952DF3"/>
    <w:rsid w:val="00953742"/>
    <w:rsid w:val="0095381A"/>
    <w:rsid w:val="009543AD"/>
    <w:rsid w:val="009547D9"/>
    <w:rsid w:val="00954E3C"/>
    <w:rsid w:val="00954F0D"/>
    <w:rsid w:val="00955036"/>
    <w:rsid w:val="00955946"/>
    <w:rsid w:val="00955D4F"/>
    <w:rsid w:val="00955DA1"/>
    <w:rsid w:val="00956E72"/>
    <w:rsid w:val="009603AA"/>
    <w:rsid w:val="00960936"/>
    <w:rsid w:val="009609FA"/>
    <w:rsid w:val="00960C51"/>
    <w:rsid w:val="00960E17"/>
    <w:rsid w:val="0096157D"/>
    <w:rsid w:val="009617E7"/>
    <w:rsid w:val="00961D91"/>
    <w:rsid w:val="009621D6"/>
    <w:rsid w:val="00962FAC"/>
    <w:rsid w:val="00963D54"/>
    <w:rsid w:val="00963F53"/>
    <w:rsid w:val="0096456A"/>
    <w:rsid w:val="0096532B"/>
    <w:rsid w:val="00965384"/>
    <w:rsid w:val="0096591F"/>
    <w:rsid w:val="00965C06"/>
    <w:rsid w:val="00965EA8"/>
    <w:rsid w:val="009668F3"/>
    <w:rsid w:val="009677C7"/>
    <w:rsid w:val="009679AD"/>
    <w:rsid w:val="00967D45"/>
    <w:rsid w:val="00972A20"/>
    <w:rsid w:val="009762F4"/>
    <w:rsid w:val="009766F0"/>
    <w:rsid w:val="009768AA"/>
    <w:rsid w:val="00976D19"/>
    <w:rsid w:val="009774C7"/>
    <w:rsid w:val="00977978"/>
    <w:rsid w:val="00977F62"/>
    <w:rsid w:val="00981137"/>
    <w:rsid w:val="00981143"/>
    <w:rsid w:val="00981316"/>
    <w:rsid w:val="0098193E"/>
    <w:rsid w:val="00981BFC"/>
    <w:rsid w:val="009837E4"/>
    <w:rsid w:val="00983815"/>
    <w:rsid w:val="009846BE"/>
    <w:rsid w:val="00984935"/>
    <w:rsid w:val="009849CB"/>
    <w:rsid w:val="009855D5"/>
    <w:rsid w:val="009860CB"/>
    <w:rsid w:val="00986189"/>
    <w:rsid w:val="00986215"/>
    <w:rsid w:val="009868A5"/>
    <w:rsid w:val="00986974"/>
    <w:rsid w:val="009871A8"/>
    <w:rsid w:val="0099014A"/>
    <w:rsid w:val="00990321"/>
    <w:rsid w:val="00990670"/>
    <w:rsid w:val="009917A7"/>
    <w:rsid w:val="0099230E"/>
    <w:rsid w:val="00992E2F"/>
    <w:rsid w:val="00993237"/>
    <w:rsid w:val="00993821"/>
    <w:rsid w:val="009939A7"/>
    <w:rsid w:val="00993E2E"/>
    <w:rsid w:val="00993EE7"/>
    <w:rsid w:val="00994D5C"/>
    <w:rsid w:val="00994DAD"/>
    <w:rsid w:val="00994DF8"/>
    <w:rsid w:val="00995852"/>
    <w:rsid w:val="009958FA"/>
    <w:rsid w:val="00995AAC"/>
    <w:rsid w:val="00996041"/>
    <w:rsid w:val="009966FA"/>
    <w:rsid w:val="00996BE6"/>
    <w:rsid w:val="00996D13"/>
    <w:rsid w:val="00997A50"/>
    <w:rsid w:val="009A20E4"/>
    <w:rsid w:val="009A285C"/>
    <w:rsid w:val="009A366B"/>
    <w:rsid w:val="009A4F56"/>
    <w:rsid w:val="009A50C5"/>
    <w:rsid w:val="009A5693"/>
    <w:rsid w:val="009A5ABA"/>
    <w:rsid w:val="009A615A"/>
    <w:rsid w:val="009A62BA"/>
    <w:rsid w:val="009A62C9"/>
    <w:rsid w:val="009A69FF"/>
    <w:rsid w:val="009A6BD9"/>
    <w:rsid w:val="009A6FA4"/>
    <w:rsid w:val="009A70C3"/>
    <w:rsid w:val="009A71D6"/>
    <w:rsid w:val="009A7D75"/>
    <w:rsid w:val="009A7F2A"/>
    <w:rsid w:val="009B0A1E"/>
    <w:rsid w:val="009B10A7"/>
    <w:rsid w:val="009B25F8"/>
    <w:rsid w:val="009B3554"/>
    <w:rsid w:val="009B3FE1"/>
    <w:rsid w:val="009B53D1"/>
    <w:rsid w:val="009B55E5"/>
    <w:rsid w:val="009B5814"/>
    <w:rsid w:val="009B6729"/>
    <w:rsid w:val="009B6840"/>
    <w:rsid w:val="009B690B"/>
    <w:rsid w:val="009B6911"/>
    <w:rsid w:val="009B6EF3"/>
    <w:rsid w:val="009B7B62"/>
    <w:rsid w:val="009C0A1D"/>
    <w:rsid w:val="009C13DF"/>
    <w:rsid w:val="009C2A9E"/>
    <w:rsid w:val="009C38F3"/>
    <w:rsid w:val="009C3EF1"/>
    <w:rsid w:val="009C58F0"/>
    <w:rsid w:val="009C59D9"/>
    <w:rsid w:val="009C60E4"/>
    <w:rsid w:val="009C670A"/>
    <w:rsid w:val="009C68B7"/>
    <w:rsid w:val="009C7FB1"/>
    <w:rsid w:val="009D0C58"/>
    <w:rsid w:val="009D11A2"/>
    <w:rsid w:val="009D1329"/>
    <w:rsid w:val="009D180F"/>
    <w:rsid w:val="009D1C6C"/>
    <w:rsid w:val="009D2A11"/>
    <w:rsid w:val="009D367B"/>
    <w:rsid w:val="009D3A4E"/>
    <w:rsid w:val="009D7C07"/>
    <w:rsid w:val="009E0F37"/>
    <w:rsid w:val="009E1A11"/>
    <w:rsid w:val="009E2109"/>
    <w:rsid w:val="009E244F"/>
    <w:rsid w:val="009E305C"/>
    <w:rsid w:val="009E3755"/>
    <w:rsid w:val="009E3ECB"/>
    <w:rsid w:val="009E53B2"/>
    <w:rsid w:val="009E6E9B"/>
    <w:rsid w:val="009E706C"/>
    <w:rsid w:val="009F042D"/>
    <w:rsid w:val="009F0B3F"/>
    <w:rsid w:val="009F0F49"/>
    <w:rsid w:val="009F24F9"/>
    <w:rsid w:val="009F2710"/>
    <w:rsid w:val="009F3347"/>
    <w:rsid w:val="009F4C23"/>
    <w:rsid w:val="009F4E1D"/>
    <w:rsid w:val="009F5236"/>
    <w:rsid w:val="009F55A9"/>
    <w:rsid w:val="009F5922"/>
    <w:rsid w:val="009F70E3"/>
    <w:rsid w:val="009F7364"/>
    <w:rsid w:val="009F778A"/>
    <w:rsid w:val="009F7EFE"/>
    <w:rsid w:val="00A00872"/>
    <w:rsid w:val="00A00B12"/>
    <w:rsid w:val="00A0178E"/>
    <w:rsid w:val="00A020D0"/>
    <w:rsid w:val="00A02374"/>
    <w:rsid w:val="00A030C8"/>
    <w:rsid w:val="00A03126"/>
    <w:rsid w:val="00A0348F"/>
    <w:rsid w:val="00A035A4"/>
    <w:rsid w:val="00A03790"/>
    <w:rsid w:val="00A03EEF"/>
    <w:rsid w:val="00A047C2"/>
    <w:rsid w:val="00A04BB5"/>
    <w:rsid w:val="00A05AD9"/>
    <w:rsid w:val="00A05D5D"/>
    <w:rsid w:val="00A05FA9"/>
    <w:rsid w:val="00A06040"/>
    <w:rsid w:val="00A06520"/>
    <w:rsid w:val="00A06D87"/>
    <w:rsid w:val="00A07A44"/>
    <w:rsid w:val="00A07F47"/>
    <w:rsid w:val="00A104A2"/>
    <w:rsid w:val="00A10D24"/>
    <w:rsid w:val="00A10F33"/>
    <w:rsid w:val="00A1153B"/>
    <w:rsid w:val="00A1186D"/>
    <w:rsid w:val="00A11C62"/>
    <w:rsid w:val="00A1225D"/>
    <w:rsid w:val="00A125B0"/>
    <w:rsid w:val="00A12606"/>
    <w:rsid w:val="00A127A7"/>
    <w:rsid w:val="00A12893"/>
    <w:rsid w:val="00A1366F"/>
    <w:rsid w:val="00A139C3"/>
    <w:rsid w:val="00A14842"/>
    <w:rsid w:val="00A14A8C"/>
    <w:rsid w:val="00A14B09"/>
    <w:rsid w:val="00A15CF8"/>
    <w:rsid w:val="00A15DC4"/>
    <w:rsid w:val="00A16273"/>
    <w:rsid w:val="00A16406"/>
    <w:rsid w:val="00A16789"/>
    <w:rsid w:val="00A17758"/>
    <w:rsid w:val="00A1795A"/>
    <w:rsid w:val="00A17B06"/>
    <w:rsid w:val="00A206E4"/>
    <w:rsid w:val="00A21162"/>
    <w:rsid w:val="00A2176C"/>
    <w:rsid w:val="00A219D8"/>
    <w:rsid w:val="00A21AD7"/>
    <w:rsid w:val="00A236EC"/>
    <w:rsid w:val="00A23895"/>
    <w:rsid w:val="00A23C67"/>
    <w:rsid w:val="00A23F35"/>
    <w:rsid w:val="00A2401B"/>
    <w:rsid w:val="00A2403A"/>
    <w:rsid w:val="00A2493B"/>
    <w:rsid w:val="00A249E3"/>
    <w:rsid w:val="00A24C2E"/>
    <w:rsid w:val="00A25B52"/>
    <w:rsid w:val="00A2682F"/>
    <w:rsid w:val="00A26E5A"/>
    <w:rsid w:val="00A27D3E"/>
    <w:rsid w:val="00A3042C"/>
    <w:rsid w:val="00A30816"/>
    <w:rsid w:val="00A30E8D"/>
    <w:rsid w:val="00A30F92"/>
    <w:rsid w:val="00A31168"/>
    <w:rsid w:val="00A319A2"/>
    <w:rsid w:val="00A31CE3"/>
    <w:rsid w:val="00A31ED4"/>
    <w:rsid w:val="00A3220D"/>
    <w:rsid w:val="00A326FE"/>
    <w:rsid w:val="00A3319B"/>
    <w:rsid w:val="00A339C3"/>
    <w:rsid w:val="00A33F19"/>
    <w:rsid w:val="00A34103"/>
    <w:rsid w:val="00A34730"/>
    <w:rsid w:val="00A34AE6"/>
    <w:rsid w:val="00A35438"/>
    <w:rsid w:val="00A35689"/>
    <w:rsid w:val="00A36DC2"/>
    <w:rsid w:val="00A36FEB"/>
    <w:rsid w:val="00A377F7"/>
    <w:rsid w:val="00A4112A"/>
    <w:rsid w:val="00A4147E"/>
    <w:rsid w:val="00A42776"/>
    <w:rsid w:val="00A44D0D"/>
    <w:rsid w:val="00A45223"/>
    <w:rsid w:val="00A45277"/>
    <w:rsid w:val="00A4545E"/>
    <w:rsid w:val="00A454EA"/>
    <w:rsid w:val="00A45CF3"/>
    <w:rsid w:val="00A47251"/>
    <w:rsid w:val="00A4795F"/>
    <w:rsid w:val="00A5031D"/>
    <w:rsid w:val="00A50673"/>
    <w:rsid w:val="00A508E6"/>
    <w:rsid w:val="00A52E42"/>
    <w:rsid w:val="00A537EC"/>
    <w:rsid w:val="00A543EF"/>
    <w:rsid w:val="00A54721"/>
    <w:rsid w:val="00A54F3F"/>
    <w:rsid w:val="00A55322"/>
    <w:rsid w:val="00A55709"/>
    <w:rsid w:val="00A55F56"/>
    <w:rsid w:val="00A56248"/>
    <w:rsid w:val="00A56565"/>
    <w:rsid w:val="00A572B2"/>
    <w:rsid w:val="00A57BDA"/>
    <w:rsid w:val="00A606BE"/>
    <w:rsid w:val="00A60842"/>
    <w:rsid w:val="00A61574"/>
    <w:rsid w:val="00A61643"/>
    <w:rsid w:val="00A61FE4"/>
    <w:rsid w:val="00A6250C"/>
    <w:rsid w:val="00A630CA"/>
    <w:rsid w:val="00A64B2C"/>
    <w:rsid w:val="00A65704"/>
    <w:rsid w:val="00A6583B"/>
    <w:rsid w:val="00A65A51"/>
    <w:rsid w:val="00A6618B"/>
    <w:rsid w:val="00A66701"/>
    <w:rsid w:val="00A676C3"/>
    <w:rsid w:val="00A67991"/>
    <w:rsid w:val="00A72509"/>
    <w:rsid w:val="00A738A7"/>
    <w:rsid w:val="00A738D1"/>
    <w:rsid w:val="00A73DE0"/>
    <w:rsid w:val="00A74A76"/>
    <w:rsid w:val="00A75752"/>
    <w:rsid w:val="00A7607A"/>
    <w:rsid w:val="00A76438"/>
    <w:rsid w:val="00A76AEC"/>
    <w:rsid w:val="00A76B68"/>
    <w:rsid w:val="00A777E8"/>
    <w:rsid w:val="00A77DAD"/>
    <w:rsid w:val="00A77EFA"/>
    <w:rsid w:val="00A8006A"/>
    <w:rsid w:val="00A80613"/>
    <w:rsid w:val="00A80616"/>
    <w:rsid w:val="00A8069B"/>
    <w:rsid w:val="00A80DAE"/>
    <w:rsid w:val="00A81A3B"/>
    <w:rsid w:val="00A825BE"/>
    <w:rsid w:val="00A82ED3"/>
    <w:rsid w:val="00A831DB"/>
    <w:rsid w:val="00A834D4"/>
    <w:rsid w:val="00A83F3C"/>
    <w:rsid w:val="00A840B8"/>
    <w:rsid w:val="00A84A32"/>
    <w:rsid w:val="00A84D8C"/>
    <w:rsid w:val="00A84F08"/>
    <w:rsid w:val="00A8637B"/>
    <w:rsid w:val="00A86E74"/>
    <w:rsid w:val="00A87C21"/>
    <w:rsid w:val="00A87E6B"/>
    <w:rsid w:val="00A90787"/>
    <w:rsid w:val="00A91103"/>
    <w:rsid w:val="00A92B79"/>
    <w:rsid w:val="00A943B7"/>
    <w:rsid w:val="00A9496E"/>
    <w:rsid w:val="00A95410"/>
    <w:rsid w:val="00A955D3"/>
    <w:rsid w:val="00A96EC9"/>
    <w:rsid w:val="00A97D83"/>
    <w:rsid w:val="00AA1AFA"/>
    <w:rsid w:val="00AA2109"/>
    <w:rsid w:val="00AA28B2"/>
    <w:rsid w:val="00AA2DA3"/>
    <w:rsid w:val="00AA2E66"/>
    <w:rsid w:val="00AA34B8"/>
    <w:rsid w:val="00AA6D45"/>
    <w:rsid w:val="00AA6D81"/>
    <w:rsid w:val="00AA7C86"/>
    <w:rsid w:val="00AA7F2D"/>
    <w:rsid w:val="00AB00DD"/>
    <w:rsid w:val="00AB0796"/>
    <w:rsid w:val="00AB0B66"/>
    <w:rsid w:val="00AB15E5"/>
    <w:rsid w:val="00AB1888"/>
    <w:rsid w:val="00AB38CB"/>
    <w:rsid w:val="00AB3F76"/>
    <w:rsid w:val="00AB453D"/>
    <w:rsid w:val="00AB4BB0"/>
    <w:rsid w:val="00AB4C1B"/>
    <w:rsid w:val="00AB4F10"/>
    <w:rsid w:val="00AB6B78"/>
    <w:rsid w:val="00AC049B"/>
    <w:rsid w:val="00AC04D7"/>
    <w:rsid w:val="00AC0682"/>
    <w:rsid w:val="00AC127B"/>
    <w:rsid w:val="00AC21B4"/>
    <w:rsid w:val="00AC2BDD"/>
    <w:rsid w:val="00AC3124"/>
    <w:rsid w:val="00AC356A"/>
    <w:rsid w:val="00AC3CA2"/>
    <w:rsid w:val="00AC3FCE"/>
    <w:rsid w:val="00AC4839"/>
    <w:rsid w:val="00AC50C4"/>
    <w:rsid w:val="00AC532D"/>
    <w:rsid w:val="00AC5338"/>
    <w:rsid w:val="00AC566F"/>
    <w:rsid w:val="00AC6421"/>
    <w:rsid w:val="00AC65D2"/>
    <w:rsid w:val="00AC7C19"/>
    <w:rsid w:val="00AD06A6"/>
    <w:rsid w:val="00AD1006"/>
    <w:rsid w:val="00AD1A0B"/>
    <w:rsid w:val="00AD1F30"/>
    <w:rsid w:val="00AD1FF0"/>
    <w:rsid w:val="00AD21F9"/>
    <w:rsid w:val="00AD2686"/>
    <w:rsid w:val="00AD2C5B"/>
    <w:rsid w:val="00AD327E"/>
    <w:rsid w:val="00AD3341"/>
    <w:rsid w:val="00AD3875"/>
    <w:rsid w:val="00AD4B1E"/>
    <w:rsid w:val="00AD5042"/>
    <w:rsid w:val="00AD50EC"/>
    <w:rsid w:val="00AD5416"/>
    <w:rsid w:val="00AD54B8"/>
    <w:rsid w:val="00AD55C6"/>
    <w:rsid w:val="00AD6847"/>
    <w:rsid w:val="00AD774C"/>
    <w:rsid w:val="00AE00DC"/>
    <w:rsid w:val="00AE0416"/>
    <w:rsid w:val="00AE3176"/>
    <w:rsid w:val="00AE320B"/>
    <w:rsid w:val="00AE3A79"/>
    <w:rsid w:val="00AE3C1E"/>
    <w:rsid w:val="00AE3C3F"/>
    <w:rsid w:val="00AE47EE"/>
    <w:rsid w:val="00AE4E24"/>
    <w:rsid w:val="00AE6527"/>
    <w:rsid w:val="00AE6588"/>
    <w:rsid w:val="00AE70FD"/>
    <w:rsid w:val="00AE78E1"/>
    <w:rsid w:val="00AF017B"/>
    <w:rsid w:val="00AF04F1"/>
    <w:rsid w:val="00AF0F79"/>
    <w:rsid w:val="00AF1498"/>
    <w:rsid w:val="00AF180A"/>
    <w:rsid w:val="00AF1C49"/>
    <w:rsid w:val="00AF21DF"/>
    <w:rsid w:val="00AF2A12"/>
    <w:rsid w:val="00AF3231"/>
    <w:rsid w:val="00AF3426"/>
    <w:rsid w:val="00AF359E"/>
    <w:rsid w:val="00AF5819"/>
    <w:rsid w:val="00AF6F75"/>
    <w:rsid w:val="00AF7F4D"/>
    <w:rsid w:val="00B01BEC"/>
    <w:rsid w:val="00B01FD5"/>
    <w:rsid w:val="00B02D51"/>
    <w:rsid w:val="00B030AE"/>
    <w:rsid w:val="00B047CB"/>
    <w:rsid w:val="00B04FB4"/>
    <w:rsid w:val="00B0570C"/>
    <w:rsid w:val="00B0658C"/>
    <w:rsid w:val="00B0729C"/>
    <w:rsid w:val="00B075CB"/>
    <w:rsid w:val="00B0784E"/>
    <w:rsid w:val="00B07B21"/>
    <w:rsid w:val="00B11DEE"/>
    <w:rsid w:val="00B11FE7"/>
    <w:rsid w:val="00B138A6"/>
    <w:rsid w:val="00B14748"/>
    <w:rsid w:val="00B15752"/>
    <w:rsid w:val="00B15AE7"/>
    <w:rsid w:val="00B16019"/>
    <w:rsid w:val="00B16EC0"/>
    <w:rsid w:val="00B17344"/>
    <w:rsid w:val="00B17545"/>
    <w:rsid w:val="00B176EF"/>
    <w:rsid w:val="00B20EE6"/>
    <w:rsid w:val="00B21011"/>
    <w:rsid w:val="00B2118F"/>
    <w:rsid w:val="00B223C7"/>
    <w:rsid w:val="00B22F7B"/>
    <w:rsid w:val="00B23092"/>
    <w:rsid w:val="00B23442"/>
    <w:rsid w:val="00B239A3"/>
    <w:rsid w:val="00B23FF2"/>
    <w:rsid w:val="00B2468E"/>
    <w:rsid w:val="00B247E1"/>
    <w:rsid w:val="00B24DFD"/>
    <w:rsid w:val="00B256FD"/>
    <w:rsid w:val="00B25D63"/>
    <w:rsid w:val="00B263BF"/>
    <w:rsid w:val="00B26B48"/>
    <w:rsid w:val="00B27316"/>
    <w:rsid w:val="00B30424"/>
    <w:rsid w:val="00B3133F"/>
    <w:rsid w:val="00B327C3"/>
    <w:rsid w:val="00B32E0D"/>
    <w:rsid w:val="00B32E80"/>
    <w:rsid w:val="00B3347B"/>
    <w:rsid w:val="00B3376C"/>
    <w:rsid w:val="00B34CA4"/>
    <w:rsid w:val="00B354C6"/>
    <w:rsid w:val="00B371E9"/>
    <w:rsid w:val="00B3744D"/>
    <w:rsid w:val="00B37EC1"/>
    <w:rsid w:val="00B4044F"/>
    <w:rsid w:val="00B4174B"/>
    <w:rsid w:val="00B41D78"/>
    <w:rsid w:val="00B42143"/>
    <w:rsid w:val="00B42454"/>
    <w:rsid w:val="00B42BAA"/>
    <w:rsid w:val="00B432C7"/>
    <w:rsid w:val="00B43768"/>
    <w:rsid w:val="00B43A9D"/>
    <w:rsid w:val="00B43C3C"/>
    <w:rsid w:val="00B44144"/>
    <w:rsid w:val="00B4474A"/>
    <w:rsid w:val="00B46B0C"/>
    <w:rsid w:val="00B46E29"/>
    <w:rsid w:val="00B47296"/>
    <w:rsid w:val="00B476CA"/>
    <w:rsid w:val="00B47A22"/>
    <w:rsid w:val="00B47B89"/>
    <w:rsid w:val="00B47BE2"/>
    <w:rsid w:val="00B47E4A"/>
    <w:rsid w:val="00B47EF3"/>
    <w:rsid w:val="00B5007D"/>
    <w:rsid w:val="00B502E3"/>
    <w:rsid w:val="00B50C77"/>
    <w:rsid w:val="00B50EBB"/>
    <w:rsid w:val="00B50FB6"/>
    <w:rsid w:val="00B512E0"/>
    <w:rsid w:val="00B5147F"/>
    <w:rsid w:val="00B515D8"/>
    <w:rsid w:val="00B51829"/>
    <w:rsid w:val="00B52999"/>
    <w:rsid w:val="00B52EB0"/>
    <w:rsid w:val="00B52F6A"/>
    <w:rsid w:val="00B53E25"/>
    <w:rsid w:val="00B54904"/>
    <w:rsid w:val="00B54E3A"/>
    <w:rsid w:val="00B556FC"/>
    <w:rsid w:val="00B5581E"/>
    <w:rsid w:val="00B55C3C"/>
    <w:rsid w:val="00B567C6"/>
    <w:rsid w:val="00B56B09"/>
    <w:rsid w:val="00B56CED"/>
    <w:rsid w:val="00B57431"/>
    <w:rsid w:val="00B576A2"/>
    <w:rsid w:val="00B5771B"/>
    <w:rsid w:val="00B6054C"/>
    <w:rsid w:val="00B606C4"/>
    <w:rsid w:val="00B610E0"/>
    <w:rsid w:val="00B63958"/>
    <w:rsid w:val="00B63977"/>
    <w:rsid w:val="00B63C38"/>
    <w:rsid w:val="00B63C41"/>
    <w:rsid w:val="00B643D6"/>
    <w:rsid w:val="00B64BC7"/>
    <w:rsid w:val="00B64F6F"/>
    <w:rsid w:val="00B65018"/>
    <w:rsid w:val="00B66106"/>
    <w:rsid w:val="00B66B8C"/>
    <w:rsid w:val="00B676E2"/>
    <w:rsid w:val="00B67E73"/>
    <w:rsid w:val="00B71544"/>
    <w:rsid w:val="00B72F6E"/>
    <w:rsid w:val="00B72FB0"/>
    <w:rsid w:val="00B7343E"/>
    <w:rsid w:val="00B74E83"/>
    <w:rsid w:val="00B75136"/>
    <w:rsid w:val="00B7520E"/>
    <w:rsid w:val="00B75C21"/>
    <w:rsid w:val="00B75DC0"/>
    <w:rsid w:val="00B76C26"/>
    <w:rsid w:val="00B774DA"/>
    <w:rsid w:val="00B77831"/>
    <w:rsid w:val="00B805D9"/>
    <w:rsid w:val="00B817D1"/>
    <w:rsid w:val="00B81E24"/>
    <w:rsid w:val="00B81E70"/>
    <w:rsid w:val="00B840EF"/>
    <w:rsid w:val="00B8480B"/>
    <w:rsid w:val="00B8481D"/>
    <w:rsid w:val="00B84867"/>
    <w:rsid w:val="00B84BCE"/>
    <w:rsid w:val="00B85746"/>
    <w:rsid w:val="00B85AC2"/>
    <w:rsid w:val="00B85BC5"/>
    <w:rsid w:val="00B85EDD"/>
    <w:rsid w:val="00B866C5"/>
    <w:rsid w:val="00B873D3"/>
    <w:rsid w:val="00B87E98"/>
    <w:rsid w:val="00B90F9F"/>
    <w:rsid w:val="00B913D2"/>
    <w:rsid w:val="00B91AF6"/>
    <w:rsid w:val="00B91C12"/>
    <w:rsid w:val="00B9236C"/>
    <w:rsid w:val="00B926EC"/>
    <w:rsid w:val="00B92AD7"/>
    <w:rsid w:val="00B93450"/>
    <w:rsid w:val="00B9461E"/>
    <w:rsid w:val="00B949F2"/>
    <w:rsid w:val="00B95318"/>
    <w:rsid w:val="00B95FD8"/>
    <w:rsid w:val="00B9756A"/>
    <w:rsid w:val="00B97618"/>
    <w:rsid w:val="00B9791A"/>
    <w:rsid w:val="00BA02DB"/>
    <w:rsid w:val="00BA0DF0"/>
    <w:rsid w:val="00BA2264"/>
    <w:rsid w:val="00BA2C21"/>
    <w:rsid w:val="00BA3425"/>
    <w:rsid w:val="00BA3566"/>
    <w:rsid w:val="00BA38C6"/>
    <w:rsid w:val="00BA3FB8"/>
    <w:rsid w:val="00BA429D"/>
    <w:rsid w:val="00BA47B3"/>
    <w:rsid w:val="00BA4BE8"/>
    <w:rsid w:val="00BA5B1D"/>
    <w:rsid w:val="00BA5B48"/>
    <w:rsid w:val="00BA7141"/>
    <w:rsid w:val="00BA7543"/>
    <w:rsid w:val="00BA7BD6"/>
    <w:rsid w:val="00BA7F14"/>
    <w:rsid w:val="00BB1E61"/>
    <w:rsid w:val="00BB22CE"/>
    <w:rsid w:val="00BB2D76"/>
    <w:rsid w:val="00BB30CA"/>
    <w:rsid w:val="00BB3AF4"/>
    <w:rsid w:val="00BB3CD5"/>
    <w:rsid w:val="00BB3E9E"/>
    <w:rsid w:val="00BB5266"/>
    <w:rsid w:val="00BB5486"/>
    <w:rsid w:val="00BB5847"/>
    <w:rsid w:val="00BB5964"/>
    <w:rsid w:val="00BB5D6A"/>
    <w:rsid w:val="00BB698A"/>
    <w:rsid w:val="00BC02F7"/>
    <w:rsid w:val="00BC0CF1"/>
    <w:rsid w:val="00BC2813"/>
    <w:rsid w:val="00BC2A74"/>
    <w:rsid w:val="00BC3717"/>
    <w:rsid w:val="00BC3CE7"/>
    <w:rsid w:val="00BC5E15"/>
    <w:rsid w:val="00BC66D7"/>
    <w:rsid w:val="00BC79A3"/>
    <w:rsid w:val="00BD0D58"/>
    <w:rsid w:val="00BD0F5E"/>
    <w:rsid w:val="00BD1179"/>
    <w:rsid w:val="00BD1CA8"/>
    <w:rsid w:val="00BD1E24"/>
    <w:rsid w:val="00BD268B"/>
    <w:rsid w:val="00BD2DE3"/>
    <w:rsid w:val="00BD2E81"/>
    <w:rsid w:val="00BD2F9E"/>
    <w:rsid w:val="00BD43B8"/>
    <w:rsid w:val="00BD48F2"/>
    <w:rsid w:val="00BD4E5F"/>
    <w:rsid w:val="00BD4FA0"/>
    <w:rsid w:val="00BD671B"/>
    <w:rsid w:val="00BD6A68"/>
    <w:rsid w:val="00BD6B1B"/>
    <w:rsid w:val="00BD75AF"/>
    <w:rsid w:val="00BD79DB"/>
    <w:rsid w:val="00BE01B7"/>
    <w:rsid w:val="00BE026D"/>
    <w:rsid w:val="00BE055A"/>
    <w:rsid w:val="00BE0BDB"/>
    <w:rsid w:val="00BE0C7F"/>
    <w:rsid w:val="00BE13DA"/>
    <w:rsid w:val="00BE1466"/>
    <w:rsid w:val="00BE16BF"/>
    <w:rsid w:val="00BE1801"/>
    <w:rsid w:val="00BE19C1"/>
    <w:rsid w:val="00BE1AEA"/>
    <w:rsid w:val="00BE1B71"/>
    <w:rsid w:val="00BE2008"/>
    <w:rsid w:val="00BE275D"/>
    <w:rsid w:val="00BE27A5"/>
    <w:rsid w:val="00BE2B8D"/>
    <w:rsid w:val="00BE38A1"/>
    <w:rsid w:val="00BE3923"/>
    <w:rsid w:val="00BE4A75"/>
    <w:rsid w:val="00BE5920"/>
    <w:rsid w:val="00BE5F53"/>
    <w:rsid w:val="00BE7207"/>
    <w:rsid w:val="00BF266E"/>
    <w:rsid w:val="00BF3419"/>
    <w:rsid w:val="00BF3952"/>
    <w:rsid w:val="00BF3AC4"/>
    <w:rsid w:val="00BF3F0C"/>
    <w:rsid w:val="00BF3FEF"/>
    <w:rsid w:val="00BF4BC7"/>
    <w:rsid w:val="00BF4DD2"/>
    <w:rsid w:val="00BF51B3"/>
    <w:rsid w:val="00BF67C0"/>
    <w:rsid w:val="00BF6A26"/>
    <w:rsid w:val="00BF6D1B"/>
    <w:rsid w:val="00C009D2"/>
    <w:rsid w:val="00C00C61"/>
    <w:rsid w:val="00C00D6A"/>
    <w:rsid w:val="00C01F98"/>
    <w:rsid w:val="00C02144"/>
    <w:rsid w:val="00C0498E"/>
    <w:rsid w:val="00C052BE"/>
    <w:rsid w:val="00C0583D"/>
    <w:rsid w:val="00C05BFF"/>
    <w:rsid w:val="00C06209"/>
    <w:rsid w:val="00C0637F"/>
    <w:rsid w:val="00C067EC"/>
    <w:rsid w:val="00C067F9"/>
    <w:rsid w:val="00C06E04"/>
    <w:rsid w:val="00C07289"/>
    <w:rsid w:val="00C07698"/>
    <w:rsid w:val="00C1078D"/>
    <w:rsid w:val="00C12D3B"/>
    <w:rsid w:val="00C132F1"/>
    <w:rsid w:val="00C1440C"/>
    <w:rsid w:val="00C14B6C"/>
    <w:rsid w:val="00C14C3A"/>
    <w:rsid w:val="00C14D70"/>
    <w:rsid w:val="00C14DAC"/>
    <w:rsid w:val="00C16A08"/>
    <w:rsid w:val="00C16B33"/>
    <w:rsid w:val="00C16FAC"/>
    <w:rsid w:val="00C171B2"/>
    <w:rsid w:val="00C171B8"/>
    <w:rsid w:val="00C20688"/>
    <w:rsid w:val="00C2184C"/>
    <w:rsid w:val="00C224FF"/>
    <w:rsid w:val="00C22567"/>
    <w:rsid w:val="00C22605"/>
    <w:rsid w:val="00C2284C"/>
    <w:rsid w:val="00C22CB6"/>
    <w:rsid w:val="00C2365D"/>
    <w:rsid w:val="00C23E9C"/>
    <w:rsid w:val="00C2426F"/>
    <w:rsid w:val="00C24472"/>
    <w:rsid w:val="00C2491D"/>
    <w:rsid w:val="00C250CB"/>
    <w:rsid w:val="00C2543B"/>
    <w:rsid w:val="00C25570"/>
    <w:rsid w:val="00C25C47"/>
    <w:rsid w:val="00C261D5"/>
    <w:rsid w:val="00C27642"/>
    <w:rsid w:val="00C27C36"/>
    <w:rsid w:val="00C27D93"/>
    <w:rsid w:val="00C303F5"/>
    <w:rsid w:val="00C30662"/>
    <w:rsid w:val="00C31096"/>
    <w:rsid w:val="00C31916"/>
    <w:rsid w:val="00C32578"/>
    <w:rsid w:val="00C32810"/>
    <w:rsid w:val="00C33442"/>
    <w:rsid w:val="00C336B4"/>
    <w:rsid w:val="00C33D9C"/>
    <w:rsid w:val="00C3406A"/>
    <w:rsid w:val="00C373AA"/>
    <w:rsid w:val="00C37537"/>
    <w:rsid w:val="00C3763A"/>
    <w:rsid w:val="00C40C02"/>
    <w:rsid w:val="00C412E1"/>
    <w:rsid w:val="00C415E8"/>
    <w:rsid w:val="00C42266"/>
    <w:rsid w:val="00C422A4"/>
    <w:rsid w:val="00C433C6"/>
    <w:rsid w:val="00C43C5B"/>
    <w:rsid w:val="00C44E26"/>
    <w:rsid w:val="00C453A8"/>
    <w:rsid w:val="00C455DE"/>
    <w:rsid w:val="00C4688C"/>
    <w:rsid w:val="00C477BB"/>
    <w:rsid w:val="00C47B24"/>
    <w:rsid w:val="00C50A6D"/>
    <w:rsid w:val="00C50E24"/>
    <w:rsid w:val="00C50EFC"/>
    <w:rsid w:val="00C51463"/>
    <w:rsid w:val="00C519D4"/>
    <w:rsid w:val="00C5219B"/>
    <w:rsid w:val="00C52D0B"/>
    <w:rsid w:val="00C537BC"/>
    <w:rsid w:val="00C539CC"/>
    <w:rsid w:val="00C53D52"/>
    <w:rsid w:val="00C54132"/>
    <w:rsid w:val="00C5462E"/>
    <w:rsid w:val="00C54993"/>
    <w:rsid w:val="00C54B3E"/>
    <w:rsid w:val="00C5551D"/>
    <w:rsid w:val="00C56219"/>
    <w:rsid w:val="00C562D9"/>
    <w:rsid w:val="00C56AED"/>
    <w:rsid w:val="00C56E37"/>
    <w:rsid w:val="00C579CD"/>
    <w:rsid w:val="00C61129"/>
    <w:rsid w:val="00C624C1"/>
    <w:rsid w:val="00C62531"/>
    <w:rsid w:val="00C626DD"/>
    <w:rsid w:val="00C62825"/>
    <w:rsid w:val="00C628B4"/>
    <w:rsid w:val="00C62B20"/>
    <w:rsid w:val="00C62BEB"/>
    <w:rsid w:val="00C633AA"/>
    <w:rsid w:val="00C63D54"/>
    <w:rsid w:val="00C65083"/>
    <w:rsid w:val="00C65537"/>
    <w:rsid w:val="00C65867"/>
    <w:rsid w:val="00C662A3"/>
    <w:rsid w:val="00C666D2"/>
    <w:rsid w:val="00C66709"/>
    <w:rsid w:val="00C6721C"/>
    <w:rsid w:val="00C672AD"/>
    <w:rsid w:val="00C678F2"/>
    <w:rsid w:val="00C67F1D"/>
    <w:rsid w:val="00C67FF8"/>
    <w:rsid w:val="00C70F63"/>
    <w:rsid w:val="00C71065"/>
    <w:rsid w:val="00C7109A"/>
    <w:rsid w:val="00C71A7D"/>
    <w:rsid w:val="00C71FE7"/>
    <w:rsid w:val="00C729EE"/>
    <w:rsid w:val="00C732DC"/>
    <w:rsid w:val="00C73F03"/>
    <w:rsid w:val="00C74114"/>
    <w:rsid w:val="00C75AED"/>
    <w:rsid w:val="00C75C15"/>
    <w:rsid w:val="00C76659"/>
    <w:rsid w:val="00C76B0C"/>
    <w:rsid w:val="00C76D98"/>
    <w:rsid w:val="00C7736E"/>
    <w:rsid w:val="00C80481"/>
    <w:rsid w:val="00C8055C"/>
    <w:rsid w:val="00C81FCC"/>
    <w:rsid w:val="00C824A3"/>
    <w:rsid w:val="00C82B75"/>
    <w:rsid w:val="00C82F77"/>
    <w:rsid w:val="00C839A8"/>
    <w:rsid w:val="00C839E0"/>
    <w:rsid w:val="00C83D6A"/>
    <w:rsid w:val="00C844D8"/>
    <w:rsid w:val="00C84951"/>
    <w:rsid w:val="00C84FB1"/>
    <w:rsid w:val="00C8569A"/>
    <w:rsid w:val="00C86249"/>
    <w:rsid w:val="00C86F24"/>
    <w:rsid w:val="00C870C0"/>
    <w:rsid w:val="00C87283"/>
    <w:rsid w:val="00C87CF2"/>
    <w:rsid w:val="00C9021F"/>
    <w:rsid w:val="00C912E3"/>
    <w:rsid w:val="00C91C43"/>
    <w:rsid w:val="00C922DD"/>
    <w:rsid w:val="00C92438"/>
    <w:rsid w:val="00C932BC"/>
    <w:rsid w:val="00C93450"/>
    <w:rsid w:val="00C93581"/>
    <w:rsid w:val="00C94D30"/>
    <w:rsid w:val="00C94D9C"/>
    <w:rsid w:val="00C95388"/>
    <w:rsid w:val="00C95DEB"/>
    <w:rsid w:val="00C96002"/>
    <w:rsid w:val="00C96F5A"/>
    <w:rsid w:val="00C97010"/>
    <w:rsid w:val="00C9705F"/>
    <w:rsid w:val="00C9741B"/>
    <w:rsid w:val="00C97E23"/>
    <w:rsid w:val="00C97E81"/>
    <w:rsid w:val="00C97F1A"/>
    <w:rsid w:val="00CA05F3"/>
    <w:rsid w:val="00CA06E9"/>
    <w:rsid w:val="00CA28C4"/>
    <w:rsid w:val="00CA298C"/>
    <w:rsid w:val="00CA2C6D"/>
    <w:rsid w:val="00CA3A73"/>
    <w:rsid w:val="00CA47BF"/>
    <w:rsid w:val="00CA5475"/>
    <w:rsid w:val="00CA579D"/>
    <w:rsid w:val="00CA5C08"/>
    <w:rsid w:val="00CA5F74"/>
    <w:rsid w:val="00CA646B"/>
    <w:rsid w:val="00CA664F"/>
    <w:rsid w:val="00CA6C93"/>
    <w:rsid w:val="00CA7179"/>
    <w:rsid w:val="00CB1296"/>
    <w:rsid w:val="00CB1B1E"/>
    <w:rsid w:val="00CB1F68"/>
    <w:rsid w:val="00CB22A9"/>
    <w:rsid w:val="00CB2629"/>
    <w:rsid w:val="00CB2654"/>
    <w:rsid w:val="00CB301D"/>
    <w:rsid w:val="00CB3F64"/>
    <w:rsid w:val="00CB3F74"/>
    <w:rsid w:val="00CB4C15"/>
    <w:rsid w:val="00CB4E1E"/>
    <w:rsid w:val="00CB511B"/>
    <w:rsid w:val="00CB52BF"/>
    <w:rsid w:val="00CB7E7D"/>
    <w:rsid w:val="00CC16A7"/>
    <w:rsid w:val="00CC20F5"/>
    <w:rsid w:val="00CC2101"/>
    <w:rsid w:val="00CC3C7A"/>
    <w:rsid w:val="00CC4464"/>
    <w:rsid w:val="00CC45E3"/>
    <w:rsid w:val="00CC49B9"/>
    <w:rsid w:val="00CC4A11"/>
    <w:rsid w:val="00CC5378"/>
    <w:rsid w:val="00CC56C6"/>
    <w:rsid w:val="00CC6B88"/>
    <w:rsid w:val="00CC6EE8"/>
    <w:rsid w:val="00CC77BB"/>
    <w:rsid w:val="00CC7ABC"/>
    <w:rsid w:val="00CC7C68"/>
    <w:rsid w:val="00CD0D4E"/>
    <w:rsid w:val="00CD1193"/>
    <w:rsid w:val="00CD19FB"/>
    <w:rsid w:val="00CD1BA7"/>
    <w:rsid w:val="00CD1EDC"/>
    <w:rsid w:val="00CD1EE0"/>
    <w:rsid w:val="00CD2AEC"/>
    <w:rsid w:val="00CD2DD1"/>
    <w:rsid w:val="00CD33FF"/>
    <w:rsid w:val="00CD3832"/>
    <w:rsid w:val="00CD3905"/>
    <w:rsid w:val="00CD4E38"/>
    <w:rsid w:val="00CD5365"/>
    <w:rsid w:val="00CD5499"/>
    <w:rsid w:val="00CD6409"/>
    <w:rsid w:val="00CD66C0"/>
    <w:rsid w:val="00CD6E86"/>
    <w:rsid w:val="00CD7484"/>
    <w:rsid w:val="00CD7B63"/>
    <w:rsid w:val="00CD7E9C"/>
    <w:rsid w:val="00CE1C3B"/>
    <w:rsid w:val="00CE29DE"/>
    <w:rsid w:val="00CE2BF2"/>
    <w:rsid w:val="00CE2C76"/>
    <w:rsid w:val="00CE2D0E"/>
    <w:rsid w:val="00CE2F75"/>
    <w:rsid w:val="00CE3260"/>
    <w:rsid w:val="00CE33BD"/>
    <w:rsid w:val="00CE3EFB"/>
    <w:rsid w:val="00CE4127"/>
    <w:rsid w:val="00CE4791"/>
    <w:rsid w:val="00CE4C5A"/>
    <w:rsid w:val="00CE5119"/>
    <w:rsid w:val="00CE5605"/>
    <w:rsid w:val="00CE58CD"/>
    <w:rsid w:val="00CE691E"/>
    <w:rsid w:val="00CE6A41"/>
    <w:rsid w:val="00CE7896"/>
    <w:rsid w:val="00CF0D1E"/>
    <w:rsid w:val="00CF0FB3"/>
    <w:rsid w:val="00CF104F"/>
    <w:rsid w:val="00CF121D"/>
    <w:rsid w:val="00CF13B8"/>
    <w:rsid w:val="00CF13C3"/>
    <w:rsid w:val="00CF1B0C"/>
    <w:rsid w:val="00CF2317"/>
    <w:rsid w:val="00CF23B6"/>
    <w:rsid w:val="00CF2C21"/>
    <w:rsid w:val="00CF30B4"/>
    <w:rsid w:val="00CF3AE4"/>
    <w:rsid w:val="00CF3B9E"/>
    <w:rsid w:val="00CF4C11"/>
    <w:rsid w:val="00CF516F"/>
    <w:rsid w:val="00CF544E"/>
    <w:rsid w:val="00CF6A61"/>
    <w:rsid w:val="00CF6AE1"/>
    <w:rsid w:val="00CF6E39"/>
    <w:rsid w:val="00CF6F85"/>
    <w:rsid w:val="00CF7981"/>
    <w:rsid w:val="00D009DB"/>
    <w:rsid w:val="00D01F4D"/>
    <w:rsid w:val="00D033D5"/>
    <w:rsid w:val="00D03551"/>
    <w:rsid w:val="00D03C38"/>
    <w:rsid w:val="00D03FA9"/>
    <w:rsid w:val="00D04C57"/>
    <w:rsid w:val="00D05C28"/>
    <w:rsid w:val="00D06316"/>
    <w:rsid w:val="00D0650C"/>
    <w:rsid w:val="00D06543"/>
    <w:rsid w:val="00D069E2"/>
    <w:rsid w:val="00D07565"/>
    <w:rsid w:val="00D07777"/>
    <w:rsid w:val="00D07DE6"/>
    <w:rsid w:val="00D10523"/>
    <w:rsid w:val="00D1079C"/>
    <w:rsid w:val="00D12CDE"/>
    <w:rsid w:val="00D12CE1"/>
    <w:rsid w:val="00D148AE"/>
    <w:rsid w:val="00D14D1D"/>
    <w:rsid w:val="00D14E9B"/>
    <w:rsid w:val="00D1541C"/>
    <w:rsid w:val="00D1546A"/>
    <w:rsid w:val="00D160AD"/>
    <w:rsid w:val="00D17866"/>
    <w:rsid w:val="00D217FF"/>
    <w:rsid w:val="00D21E9C"/>
    <w:rsid w:val="00D22B33"/>
    <w:rsid w:val="00D23B3C"/>
    <w:rsid w:val="00D23BAE"/>
    <w:rsid w:val="00D23F48"/>
    <w:rsid w:val="00D23FBC"/>
    <w:rsid w:val="00D24997"/>
    <w:rsid w:val="00D26314"/>
    <w:rsid w:val="00D26A36"/>
    <w:rsid w:val="00D26D1E"/>
    <w:rsid w:val="00D274C2"/>
    <w:rsid w:val="00D27974"/>
    <w:rsid w:val="00D27C25"/>
    <w:rsid w:val="00D27C31"/>
    <w:rsid w:val="00D27E75"/>
    <w:rsid w:val="00D3063D"/>
    <w:rsid w:val="00D306C8"/>
    <w:rsid w:val="00D30D62"/>
    <w:rsid w:val="00D30F52"/>
    <w:rsid w:val="00D31105"/>
    <w:rsid w:val="00D31408"/>
    <w:rsid w:val="00D319A4"/>
    <w:rsid w:val="00D31AC7"/>
    <w:rsid w:val="00D32063"/>
    <w:rsid w:val="00D32205"/>
    <w:rsid w:val="00D32B02"/>
    <w:rsid w:val="00D340E0"/>
    <w:rsid w:val="00D34146"/>
    <w:rsid w:val="00D35314"/>
    <w:rsid w:val="00D354E9"/>
    <w:rsid w:val="00D362B0"/>
    <w:rsid w:val="00D374F4"/>
    <w:rsid w:val="00D37DB7"/>
    <w:rsid w:val="00D4115D"/>
    <w:rsid w:val="00D42D76"/>
    <w:rsid w:val="00D43966"/>
    <w:rsid w:val="00D4396C"/>
    <w:rsid w:val="00D44224"/>
    <w:rsid w:val="00D44659"/>
    <w:rsid w:val="00D4495B"/>
    <w:rsid w:val="00D452CC"/>
    <w:rsid w:val="00D45706"/>
    <w:rsid w:val="00D4585D"/>
    <w:rsid w:val="00D45B18"/>
    <w:rsid w:val="00D47154"/>
    <w:rsid w:val="00D47E07"/>
    <w:rsid w:val="00D501C7"/>
    <w:rsid w:val="00D51406"/>
    <w:rsid w:val="00D51412"/>
    <w:rsid w:val="00D51B1F"/>
    <w:rsid w:val="00D542C9"/>
    <w:rsid w:val="00D54FC6"/>
    <w:rsid w:val="00D550F2"/>
    <w:rsid w:val="00D553D3"/>
    <w:rsid w:val="00D5577A"/>
    <w:rsid w:val="00D557FD"/>
    <w:rsid w:val="00D56461"/>
    <w:rsid w:val="00D565B1"/>
    <w:rsid w:val="00D5754E"/>
    <w:rsid w:val="00D57CF4"/>
    <w:rsid w:val="00D60243"/>
    <w:rsid w:val="00D61475"/>
    <w:rsid w:val="00D61733"/>
    <w:rsid w:val="00D6178D"/>
    <w:rsid w:val="00D61904"/>
    <w:rsid w:val="00D61A08"/>
    <w:rsid w:val="00D62E73"/>
    <w:rsid w:val="00D635E0"/>
    <w:rsid w:val="00D63E27"/>
    <w:rsid w:val="00D64233"/>
    <w:rsid w:val="00D64366"/>
    <w:rsid w:val="00D64CBB"/>
    <w:rsid w:val="00D652C4"/>
    <w:rsid w:val="00D65951"/>
    <w:rsid w:val="00D66232"/>
    <w:rsid w:val="00D669F7"/>
    <w:rsid w:val="00D66CD2"/>
    <w:rsid w:val="00D66DD7"/>
    <w:rsid w:val="00D67824"/>
    <w:rsid w:val="00D67B58"/>
    <w:rsid w:val="00D67C97"/>
    <w:rsid w:val="00D70263"/>
    <w:rsid w:val="00D7085E"/>
    <w:rsid w:val="00D70E0C"/>
    <w:rsid w:val="00D70FB7"/>
    <w:rsid w:val="00D711C1"/>
    <w:rsid w:val="00D71681"/>
    <w:rsid w:val="00D719FE"/>
    <w:rsid w:val="00D71D1D"/>
    <w:rsid w:val="00D7260D"/>
    <w:rsid w:val="00D727DE"/>
    <w:rsid w:val="00D73026"/>
    <w:rsid w:val="00D736B2"/>
    <w:rsid w:val="00D75652"/>
    <w:rsid w:val="00D75FF5"/>
    <w:rsid w:val="00D7610C"/>
    <w:rsid w:val="00D76321"/>
    <w:rsid w:val="00D766FC"/>
    <w:rsid w:val="00D77E6C"/>
    <w:rsid w:val="00D81A55"/>
    <w:rsid w:val="00D8220B"/>
    <w:rsid w:val="00D82AB6"/>
    <w:rsid w:val="00D843F6"/>
    <w:rsid w:val="00D84D61"/>
    <w:rsid w:val="00D861A8"/>
    <w:rsid w:val="00D867B8"/>
    <w:rsid w:val="00D87608"/>
    <w:rsid w:val="00D87AE2"/>
    <w:rsid w:val="00D87F66"/>
    <w:rsid w:val="00D90338"/>
    <w:rsid w:val="00D90440"/>
    <w:rsid w:val="00D90550"/>
    <w:rsid w:val="00D909EC"/>
    <w:rsid w:val="00D913BA"/>
    <w:rsid w:val="00D922F8"/>
    <w:rsid w:val="00D92507"/>
    <w:rsid w:val="00D92B74"/>
    <w:rsid w:val="00D92C53"/>
    <w:rsid w:val="00D94028"/>
    <w:rsid w:val="00D94616"/>
    <w:rsid w:val="00D94D0C"/>
    <w:rsid w:val="00D95AE6"/>
    <w:rsid w:val="00D97750"/>
    <w:rsid w:val="00D97BEC"/>
    <w:rsid w:val="00DA110D"/>
    <w:rsid w:val="00DA17A2"/>
    <w:rsid w:val="00DA1DC4"/>
    <w:rsid w:val="00DA2904"/>
    <w:rsid w:val="00DA40E8"/>
    <w:rsid w:val="00DA55B9"/>
    <w:rsid w:val="00DA562C"/>
    <w:rsid w:val="00DA6AE6"/>
    <w:rsid w:val="00DA72DC"/>
    <w:rsid w:val="00DA7364"/>
    <w:rsid w:val="00DB0E29"/>
    <w:rsid w:val="00DB16A2"/>
    <w:rsid w:val="00DB19B2"/>
    <w:rsid w:val="00DB1B03"/>
    <w:rsid w:val="00DB1F3F"/>
    <w:rsid w:val="00DB238D"/>
    <w:rsid w:val="00DB289B"/>
    <w:rsid w:val="00DB2B08"/>
    <w:rsid w:val="00DB4A24"/>
    <w:rsid w:val="00DB4BE7"/>
    <w:rsid w:val="00DB59E9"/>
    <w:rsid w:val="00DB5BCB"/>
    <w:rsid w:val="00DB65AE"/>
    <w:rsid w:val="00DB694A"/>
    <w:rsid w:val="00DB6D2B"/>
    <w:rsid w:val="00DC0038"/>
    <w:rsid w:val="00DC00A3"/>
    <w:rsid w:val="00DC083A"/>
    <w:rsid w:val="00DC0926"/>
    <w:rsid w:val="00DC0AF0"/>
    <w:rsid w:val="00DC0DC1"/>
    <w:rsid w:val="00DC0E9B"/>
    <w:rsid w:val="00DC115A"/>
    <w:rsid w:val="00DC1D2C"/>
    <w:rsid w:val="00DC2253"/>
    <w:rsid w:val="00DC2373"/>
    <w:rsid w:val="00DC259E"/>
    <w:rsid w:val="00DC2E22"/>
    <w:rsid w:val="00DC42AD"/>
    <w:rsid w:val="00DC4A2E"/>
    <w:rsid w:val="00DC5932"/>
    <w:rsid w:val="00DC6000"/>
    <w:rsid w:val="00DC605A"/>
    <w:rsid w:val="00DC6DE5"/>
    <w:rsid w:val="00DD00A9"/>
    <w:rsid w:val="00DD18B5"/>
    <w:rsid w:val="00DD18BE"/>
    <w:rsid w:val="00DD1E0C"/>
    <w:rsid w:val="00DD1E44"/>
    <w:rsid w:val="00DD2025"/>
    <w:rsid w:val="00DD2833"/>
    <w:rsid w:val="00DD294E"/>
    <w:rsid w:val="00DD3576"/>
    <w:rsid w:val="00DD370F"/>
    <w:rsid w:val="00DD3741"/>
    <w:rsid w:val="00DD3DB5"/>
    <w:rsid w:val="00DD4243"/>
    <w:rsid w:val="00DD4CE4"/>
    <w:rsid w:val="00DD4D97"/>
    <w:rsid w:val="00DD6D47"/>
    <w:rsid w:val="00DD7041"/>
    <w:rsid w:val="00DD77D2"/>
    <w:rsid w:val="00DD7DBB"/>
    <w:rsid w:val="00DD7E53"/>
    <w:rsid w:val="00DE0038"/>
    <w:rsid w:val="00DE0226"/>
    <w:rsid w:val="00DE0AA5"/>
    <w:rsid w:val="00DE0C90"/>
    <w:rsid w:val="00DE1C92"/>
    <w:rsid w:val="00DE1EEE"/>
    <w:rsid w:val="00DE26A9"/>
    <w:rsid w:val="00DE3672"/>
    <w:rsid w:val="00DE4319"/>
    <w:rsid w:val="00DE4955"/>
    <w:rsid w:val="00DE5077"/>
    <w:rsid w:val="00DE5203"/>
    <w:rsid w:val="00DE54FF"/>
    <w:rsid w:val="00DE5803"/>
    <w:rsid w:val="00DE5B83"/>
    <w:rsid w:val="00DE6C9C"/>
    <w:rsid w:val="00DE7718"/>
    <w:rsid w:val="00DF0A5E"/>
    <w:rsid w:val="00DF0C20"/>
    <w:rsid w:val="00DF0C35"/>
    <w:rsid w:val="00DF1005"/>
    <w:rsid w:val="00DF12C6"/>
    <w:rsid w:val="00DF1509"/>
    <w:rsid w:val="00DF1A8B"/>
    <w:rsid w:val="00DF1FA9"/>
    <w:rsid w:val="00DF2021"/>
    <w:rsid w:val="00DF2332"/>
    <w:rsid w:val="00DF3587"/>
    <w:rsid w:val="00DF3FF6"/>
    <w:rsid w:val="00DF4E57"/>
    <w:rsid w:val="00DF6550"/>
    <w:rsid w:val="00DF718A"/>
    <w:rsid w:val="00DF7568"/>
    <w:rsid w:val="00DF7A61"/>
    <w:rsid w:val="00E0006F"/>
    <w:rsid w:val="00E01796"/>
    <w:rsid w:val="00E01FCB"/>
    <w:rsid w:val="00E02A87"/>
    <w:rsid w:val="00E031FB"/>
    <w:rsid w:val="00E033A3"/>
    <w:rsid w:val="00E03E83"/>
    <w:rsid w:val="00E04111"/>
    <w:rsid w:val="00E04255"/>
    <w:rsid w:val="00E04266"/>
    <w:rsid w:val="00E0497D"/>
    <w:rsid w:val="00E052AC"/>
    <w:rsid w:val="00E07E97"/>
    <w:rsid w:val="00E07FDE"/>
    <w:rsid w:val="00E108BB"/>
    <w:rsid w:val="00E110EF"/>
    <w:rsid w:val="00E11300"/>
    <w:rsid w:val="00E11464"/>
    <w:rsid w:val="00E11A85"/>
    <w:rsid w:val="00E11FE8"/>
    <w:rsid w:val="00E12108"/>
    <w:rsid w:val="00E12B30"/>
    <w:rsid w:val="00E147BF"/>
    <w:rsid w:val="00E1639D"/>
    <w:rsid w:val="00E16B4F"/>
    <w:rsid w:val="00E16C9A"/>
    <w:rsid w:val="00E172C0"/>
    <w:rsid w:val="00E17AA9"/>
    <w:rsid w:val="00E17FA7"/>
    <w:rsid w:val="00E20FA4"/>
    <w:rsid w:val="00E213C6"/>
    <w:rsid w:val="00E21A15"/>
    <w:rsid w:val="00E21B92"/>
    <w:rsid w:val="00E21C5D"/>
    <w:rsid w:val="00E22E55"/>
    <w:rsid w:val="00E2334F"/>
    <w:rsid w:val="00E24DAF"/>
    <w:rsid w:val="00E267E7"/>
    <w:rsid w:val="00E27D9A"/>
    <w:rsid w:val="00E3076A"/>
    <w:rsid w:val="00E31900"/>
    <w:rsid w:val="00E33184"/>
    <w:rsid w:val="00E33299"/>
    <w:rsid w:val="00E33439"/>
    <w:rsid w:val="00E33FB1"/>
    <w:rsid w:val="00E34736"/>
    <w:rsid w:val="00E349AE"/>
    <w:rsid w:val="00E35B1E"/>
    <w:rsid w:val="00E35D59"/>
    <w:rsid w:val="00E36203"/>
    <w:rsid w:val="00E364E3"/>
    <w:rsid w:val="00E3686F"/>
    <w:rsid w:val="00E36968"/>
    <w:rsid w:val="00E37395"/>
    <w:rsid w:val="00E37EFE"/>
    <w:rsid w:val="00E40034"/>
    <w:rsid w:val="00E41CC5"/>
    <w:rsid w:val="00E42D08"/>
    <w:rsid w:val="00E42F1F"/>
    <w:rsid w:val="00E437DB"/>
    <w:rsid w:val="00E43AE4"/>
    <w:rsid w:val="00E44A46"/>
    <w:rsid w:val="00E45621"/>
    <w:rsid w:val="00E45E09"/>
    <w:rsid w:val="00E46AF8"/>
    <w:rsid w:val="00E46FD1"/>
    <w:rsid w:val="00E50398"/>
    <w:rsid w:val="00E503CF"/>
    <w:rsid w:val="00E504EA"/>
    <w:rsid w:val="00E51B7C"/>
    <w:rsid w:val="00E51BBE"/>
    <w:rsid w:val="00E528B3"/>
    <w:rsid w:val="00E52F3D"/>
    <w:rsid w:val="00E54072"/>
    <w:rsid w:val="00E54296"/>
    <w:rsid w:val="00E5474F"/>
    <w:rsid w:val="00E5485D"/>
    <w:rsid w:val="00E54BC4"/>
    <w:rsid w:val="00E56B71"/>
    <w:rsid w:val="00E57937"/>
    <w:rsid w:val="00E57E24"/>
    <w:rsid w:val="00E61BD9"/>
    <w:rsid w:val="00E61F6B"/>
    <w:rsid w:val="00E626CC"/>
    <w:rsid w:val="00E62BC1"/>
    <w:rsid w:val="00E62C5E"/>
    <w:rsid w:val="00E63384"/>
    <w:rsid w:val="00E636F1"/>
    <w:rsid w:val="00E63D7E"/>
    <w:rsid w:val="00E63E1A"/>
    <w:rsid w:val="00E64832"/>
    <w:rsid w:val="00E654CF"/>
    <w:rsid w:val="00E65D89"/>
    <w:rsid w:val="00E66EA3"/>
    <w:rsid w:val="00E67117"/>
    <w:rsid w:val="00E67607"/>
    <w:rsid w:val="00E67D3B"/>
    <w:rsid w:val="00E70F75"/>
    <w:rsid w:val="00E71559"/>
    <w:rsid w:val="00E718E4"/>
    <w:rsid w:val="00E7190D"/>
    <w:rsid w:val="00E719F8"/>
    <w:rsid w:val="00E7226F"/>
    <w:rsid w:val="00E73C90"/>
    <w:rsid w:val="00E73F56"/>
    <w:rsid w:val="00E74951"/>
    <w:rsid w:val="00E756DF"/>
    <w:rsid w:val="00E75A81"/>
    <w:rsid w:val="00E76074"/>
    <w:rsid w:val="00E76BF6"/>
    <w:rsid w:val="00E7776F"/>
    <w:rsid w:val="00E80F60"/>
    <w:rsid w:val="00E8328C"/>
    <w:rsid w:val="00E83BD8"/>
    <w:rsid w:val="00E842FE"/>
    <w:rsid w:val="00E8441A"/>
    <w:rsid w:val="00E8480A"/>
    <w:rsid w:val="00E84E39"/>
    <w:rsid w:val="00E854C8"/>
    <w:rsid w:val="00E865D8"/>
    <w:rsid w:val="00E86757"/>
    <w:rsid w:val="00E8695A"/>
    <w:rsid w:val="00E874F4"/>
    <w:rsid w:val="00E8774F"/>
    <w:rsid w:val="00E87A4D"/>
    <w:rsid w:val="00E87B56"/>
    <w:rsid w:val="00E90741"/>
    <w:rsid w:val="00E915E8"/>
    <w:rsid w:val="00E92D04"/>
    <w:rsid w:val="00E9341F"/>
    <w:rsid w:val="00E9355F"/>
    <w:rsid w:val="00E95329"/>
    <w:rsid w:val="00E955AB"/>
    <w:rsid w:val="00E95869"/>
    <w:rsid w:val="00E95B0C"/>
    <w:rsid w:val="00E970F1"/>
    <w:rsid w:val="00E975EF"/>
    <w:rsid w:val="00E97F7C"/>
    <w:rsid w:val="00EA01CC"/>
    <w:rsid w:val="00EA0264"/>
    <w:rsid w:val="00EA1809"/>
    <w:rsid w:val="00EA25DD"/>
    <w:rsid w:val="00EA264C"/>
    <w:rsid w:val="00EA26E9"/>
    <w:rsid w:val="00EA40AB"/>
    <w:rsid w:val="00EA5129"/>
    <w:rsid w:val="00EA69B6"/>
    <w:rsid w:val="00EA7B13"/>
    <w:rsid w:val="00EB134E"/>
    <w:rsid w:val="00EB1F09"/>
    <w:rsid w:val="00EB218F"/>
    <w:rsid w:val="00EB2F61"/>
    <w:rsid w:val="00EB36DC"/>
    <w:rsid w:val="00EB4D81"/>
    <w:rsid w:val="00EB5064"/>
    <w:rsid w:val="00EB54E7"/>
    <w:rsid w:val="00EB669B"/>
    <w:rsid w:val="00EB6A57"/>
    <w:rsid w:val="00EB786E"/>
    <w:rsid w:val="00EB7FFA"/>
    <w:rsid w:val="00EC03E4"/>
    <w:rsid w:val="00EC06CE"/>
    <w:rsid w:val="00EC0837"/>
    <w:rsid w:val="00EC21BD"/>
    <w:rsid w:val="00EC23AF"/>
    <w:rsid w:val="00EC2858"/>
    <w:rsid w:val="00EC29C9"/>
    <w:rsid w:val="00EC2B55"/>
    <w:rsid w:val="00EC3BB1"/>
    <w:rsid w:val="00EC45C7"/>
    <w:rsid w:val="00EC5351"/>
    <w:rsid w:val="00EC58EE"/>
    <w:rsid w:val="00EC5D33"/>
    <w:rsid w:val="00EC6386"/>
    <w:rsid w:val="00EC668F"/>
    <w:rsid w:val="00EC6745"/>
    <w:rsid w:val="00EC7EAE"/>
    <w:rsid w:val="00ED12AD"/>
    <w:rsid w:val="00ED15A3"/>
    <w:rsid w:val="00ED1600"/>
    <w:rsid w:val="00ED1F49"/>
    <w:rsid w:val="00ED2033"/>
    <w:rsid w:val="00ED53F3"/>
    <w:rsid w:val="00ED5B7D"/>
    <w:rsid w:val="00ED65FD"/>
    <w:rsid w:val="00ED71E9"/>
    <w:rsid w:val="00EE2191"/>
    <w:rsid w:val="00EE220A"/>
    <w:rsid w:val="00EE23E5"/>
    <w:rsid w:val="00EE278D"/>
    <w:rsid w:val="00EE353A"/>
    <w:rsid w:val="00EE3683"/>
    <w:rsid w:val="00EE46A2"/>
    <w:rsid w:val="00EE4978"/>
    <w:rsid w:val="00EE4D2F"/>
    <w:rsid w:val="00EE4E84"/>
    <w:rsid w:val="00EE5FF2"/>
    <w:rsid w:val="00EE653F"/>
    <w:rsid w:val="00EE6C77"/>
    <w:rsid w:val="00EE7378"/>
    <w:rsid w:val="00EF174F"/>
    <w:rsid w:val="00EF234B"/>
    <w:rsid w:val="00EF342D"/>
    <w:rsid w:val="00EF3B47"/>
    <w:rsid w:val="00EF49AF"/>
    <w:rsid w:val="00EF56E4"/>
    <w:rsid w:val="00EF655D"/>
    <w:rsid w:val="00EF67A9"/>
    <w:rsid w:val="00EF6BA4"/>
    <w:rsid w:val="00EF6F57"/>
    <w:rsid w:val="00EF6F6B"/>
    <w:rsid w:val="00EF7050"/>
    <w:rsid w:val="00EF7593"/>
    <w:rsid w:val="00EF779F"/>
    <w:rsid w:val="00EF7A1D"/>
    <w:rsid w:val="00F0011F"/>
    <w:rsid w:val="00F009D9"/>
    <w:rsid w:val="00F01360"/>
    <w:rsid w:val="00F01878"/>
    <w:rsid w:val="00F0198E"/>
    <w:rsid w:val="00F01F24"/>
    <w:rsid w:val="00F023CB"/>
    <w:rsid w:val="00F03E81"/>
    <w:rsid w:val="00F04F81"/>
    <w:rsid w:val="00F053AB"/>
    <w:rsid w:val="00F05445"/>
    <w:rsid w:val="00F05838"/>
    <w:rsid w:val="00F0631C"/>
    <w:rsid w:val="00F06E47"/>
    <w:rsid w:val="00F074F4"/>
    <w:rsid w:val="00F07546"/>
    <w:rsid w:val="00F077D7"/>
    <w:rsid w:val="00F1010A"/>
    <w:rsid w:val="00F112E6"/>
    <w:rsid w:val="00F113A3"/>
    <w:rsid w:val="00F11BC6"/>
    <w:rsid w:val="00F124D0"/>
    <w:rsid w:val="00F13EB9"/>
    <w:rsid w:val="00F142DD"/>
    <w:rsid w:val="00F1466A"/>
    <w:rsid w:val="00F14B09"/>
    <w:rsid w:val="00F15862"/>
    <w:rsid w:val="00F15A03"/>
    <w:rsid w:val="00F161A7"/>
    <w:rsid w:val="00F16286"/>
    <w:rsid w:val="00F16462"/>
    <w:rsid w:val="00F16E3F"/>
    <w:rsid w:val="00F2034A"/>
    <w:rsid w:val="00F2085E"/>
    <w:rsid w:val="00F22213"/>
    <w:rsid w:val="00F222A9"/>
    <w:rsid w:val="00F23298"/>
    <w:rsid w:val="00F233F7"/>
    <w:rsid w:val="00F23656"/>
    <w:rsid w:val="00F24109"/>
    <w:rsid w:val="00F24954"/>
    <w:rsid w:val="00F24FFE"/>
    <w:rsid w:val="00F26438"/>
    <w:rsid w:val="00F26AAE"/>
    <w:rsid w:val="00F27365"/>
    <w:rsid w:val="00F276D0"/>
    <w:rsid w:val="00F27B4A"/>
    <w:rsid w:val="00F3048E"/>
    <w:rsid w:val="00F30819"/>
    <w:rsid w:val="00F308B7"/>
    <w:rsid w:val="00F30929"/>
    <w:rsid w:val="00F30F15"/>
    <w:rsid w:val="00F3111A"/>
    <w:rsid w:val="00F317A0"/>
    <w:rsid w:val="00F31E26"/>
    <w:rsid w:val="00F323CB"/>
    <w:rsid w:val="00F330CC"/>
    <w:rsid w:val="00F33312"/>
    <w:rsid w:val="00F33EB1"/>
    <w:rsid w:val="00F34301"/>
    <w:rsid w:val="00F35226"/>
    <w:rsid w:val="00F3542C"/>
    <w:rsid w:val="00F359C7"/>
    <w:rsid w:val="00F35BE3"/>
    <w:rsid w:val="00F36A50"/>
    <w:rsid w:val="00F37614"/>
    <w:rsid w:val="00F37855"/>
    <w:rsid w:val="00F37A6F"/>
    <w:rsid w:val="00F37E27"/>
    <w:rsid w:val="00F401CF"/>
    <w:rsid w:val="00F40BAA"/>
    <w:rsid w:val="00F40D90"/>
    <w:rsid w:val="00F417F3"/>
    <w:rsid w:val="00F41D13"/>
    <w:rsid w:val="00F41E15"/>
    <w:rsid w:val="00F42577"/>
    <w:rsid w:val="00F4287D"/>
    <w:rsid w:val="00F42DF4"/>
    <w:rsid w:val="00F42FB5"/>
    <w:rsid w:val="00F43524"/>
    <w:rsid w:val="00F436A2"/>
    <w:rsid w:val="00F4449D"/>
    <w:rsid w:val="00F448D4"/>
    <w:rsid w:val="00F44F07"/>
    <w:rsid w:val="00F4523E"/>
    <w:rsid w:val="00F45315"/>
    <w:rsid w:val="00F45595"/>
    <w:rsid w:val="00F45E8D"/>
    <w:rsid w:val="00F462A5"/>
    <w:rsid w:val="00F469D5"/>
    <w:rsid w:val="00F46BCF"/>
    <w:rsid w:val="00F46E30"/>
    <w:rsid w:val="00F47698"/>
    <w:rsid w:val="00F47F19"/>
    <w:rsid w:val="00F50BF3"/>
    <w:rsid w:val="00F50E7C"/>
    <w:rsid w:val="00F51A61"/>
    <w:rsid w:val="00F53559"/>
    <w:rsid w:val="00F53DEE"/>
    <w:rsid w:val="00F53F05"/>
    <w:rsid w:val="00F53FD7"/>
    <w:rsid w:val="00F54241"/>
    <w:rsid w:val="00F546FE"/>
    <w:rsid w:val="00F5656B"/>
    <w:rsid w:val="00F5697C"/>
    <w:rsid w:val="00F56D14"/>
    <w:rsid w:val="00F57947"/>
    <w:rsid w:val="00F6003E"/>
    <w:rsid w:val="00F600B0"/>
    <w:rsid w:val="00F60661"/>
    <w:rsid w:val="00F60794"/>
    <w:rsid w:val="00F60D81"/>
    <w:rsid w:val="00F60D99"/>
    <w:rsid w:val="00F61513"/>
    <w:rsid w:val="00F62A2C"/>
    <w:rsid w:val="00F62C5A"/>
    <w:rsid w:val="00F62E56"/>
    <w:rsid w:val="00F62E79"/>
    <w:rsid w:val="00F63654"/>
    <w:rsid w:val="00F6426C"/>
    <w:rsid w:val="00F647A6"/>
    <w:rsid w:val="00F6545B"/>
    <w:rsid w:val="00F663BB"/>
    <w:rsid w:val="00F66B0F"/>
    <w:rsid w:val="00F66E15"/>
    <w:rsid w:val="00F670BC"/>
    <w:rsid w:val="00F67786"/>
    <w:rsid w:val="00F67E42"/>
    <w:rsid w:val="00F70212"/>
    <w:rsid w:val="00F706E8"/>
    <w:rsid w:val="00F70E48"/>
    <w:rsid w:val="00F70F68"/>
    <w:rsid w:val="00F71103"/>
    <w:rsid w:val="00F7307F"/>
    <w:rsid w:val="00F7397E"/>
    <w:rsid w:val="00F74A86"/>
    <w:rsid w:val="00F768F9"/>
    <w:rsid w:val="00F77F73"/>
    <w:rsid w:val="00F77F8A"/>
    <w:rsid w:val="00F8062B"/>
    <w:rsid w:val="00F8190F"/>
    <w:rsid w:val="00F81A4A"/>
    <w:rsid w:val="00F8319B"/>
    <w:rsid w:val="00F8367C"/>
    <w:rsid w:val="00F84AA1"/>
    <w:rsid w:val="00F86A9E"/>
    <w:rsid w:val="00F86E73"/>
    <w:rsid w:val="00F87609"/>
    <w:rsid w:val="00F90B40"/>
    <w:rsid w:val="00F90D31"/>
    <w:rsid w:val="00F913E6"/>
    <w:rsid w:val="00F9144D"/>
    <w:rsid w:val="00F91459"/>
    <w:rsid w:val="00F915C6"/>
    <w:rsid w:val="00F9232E"/>
    <w:rsid w:val="00F939FF"/>
    <w:rsid w:val="00F93EB5"/>
    <w:rsid w:val="00F942FF"/>
    <w:rsid w:val="00F94AB1"/>
    <w:rsid w:val="00F95891"/>
    <w:rsid w:val="00F96B37"/>
    <w:rsid w:val="00F96F96"/>
    <w:rsid w:val="00F97C5F"/>
    <w:rsid w:val="00FA04CE"/>
    <w:rsid w:val="00FA0928"/>
    <w:rsid w:val="00FA0DE0"/>
    <w:rsid w:val="00FA1CC8"/>
    <w:rsid w:val="00FA1E19"/>
    <w:rsid w:val="00FA207C"/>
    <w:rsid w:val="00FA33B7"/>
    <w:rsid w:val="00FA3631"/>
    <w:rsid w:val="00FA4305"/>
    <w:rsid w:val="00FA4FA0"/>
    <w:rsid w:val="00FA5679"/>
    <w:rsid w:val="00FA5A52"/>
    <w:rsid w:val="00FB0058"/>
    <w:rsid w:val="00FB0B2E"/>
    <w:rsid w:val="00FB19AC"/>
    <w:rsid w:val="00FB2B2B"/>
    <w:rsid w:val="00FB2E5A"/>
    <w:rsid w:val="00FB2FF9"/>
    <w:rsid w:val="00FB3035"/>
    <w:rsid w:val="00FB4065"/>
    <w:rsid w:val="00FB4306"/>
    <w:rsid w:val="00FB4881"/>
    <w:rsid w:val="00FB53F7"/>
    <w:rsid w:val="00FB53F8"/>
    <w:rsid w:val="00FB555E"/>
    <w:rsid w:val="00FB77F8"/>
    <w:rsid w:val="00FB7B9D"/>
    <w:rsid w:val="00FB7F76"/>
    <w:rsid w:val="00FC046D"/>
    <w:rsid w:val="00FC0763"/>
    <w:rsid w:val="00FC0832"/>
    <w:rsid w:val="00FC15E5"/>
    <w:rsid w:val="00FC1863"/>
    <w:rsid w:val="00FC2257"/>
    <w:rsid w:val="00FC2758"/>
    <w:rsid w:val="00FC2E72"/>
    <w:rsid w:val="00FC4DE1"/>
    <w:rsid w:val="00FC51E2"/>
    <w:rsid w:val="00FC585B"/>
    <w:rsid w:val="00FC5C4E"/>
    <w:rsid w:val="00FC62FF"/>
    <w:rsid w:val="00FC6767"/>
    <w:rsid w:val="00FC7BBB"/>
    <w:rsid w:val="00FD0501"/>
    <w:rsid w:val="00FD07A1"/>
    <w:rsid w:val="00FD0EA9"/>
    <w:rsid w:val="00FD1047"/>
    <w:rsid w:val="00FD110A"/>
    <w:rsid w:val="00FD2A5A"/>
    <w:rsid w:val="00FD325E"/>
    <w:rsid w:val="00FD36CB"/>
    <w:rsid w:val="00FD7C7A"/>
    <w:rsid w:val="00FE1F14"/>
    <w:rsid w:val="00FE2234"/>
    <w:rsid w:val="00FE3DEB"/>
    <w:rsid w:val="00FE4215"/>
    <w:rsid w:val="00FE46EE"/>
    <w:rsid w:val="00FE5163"/>
    <w:rsid w:val="00FE5324"/>
    <w:rsid w:val="00FE67FB"/>
    <w:rsid w:val="00FE7099"/>
    <w:rsid w:val="00FE7684"/>
    <w:rsid w:val="00FE76AB"/>
    <w:rsid w:val="00FF05AD"/>
    <w:rsid w:val="00FF1FA8"/>
    <w:rsid w:val="00FF25FC"/>
    <w:rsid w:val="00FF28E8"/>
    <w:rsid w:val="00FF2DEB"/>
    <w:rsid w:val="00FF3F51"/>
    <w:rsid w:val="00FF4997"/>
    <w:rsid w:val="00FF561C"/>
    <w:rsid w:val="00FF69DD"/>
    <w:rsid w:val="00FF7C3C"/>
    <w:rsid w:val="015C5EF6"/>
    <w:rsid w:val="0167CC14"/>
    <w:rsid w:val="01768335"/>
    <w:rsid w:val="0213F643"/>
    <w:rsid w:val="03578A0C"/>
    <w:rsid w:val="04E78429"/>
    <w:rsid w:val="054D3B95"/>
    <w:rsid w:val="05AC5826"/>
    <w:rsid w:val="063BE8BF"/>
    <w:rsid w:val="06635FD9"/>
    <w:rsid w:val="068F2ACE"/>
    <w:rsid w:val="072DC912"/>
    <w:rsid w:val="082F0A88"/>
    <w:rsid w:val="08384BAC"/>
    <w:rsid w:val="08461A8C"/>
    <w:rsid w:val="09305A28"/>
    <w:rsid w:val="0947E87D"/>
    <w:rsid w:val="09F5B62F"/>
    <w:rsid w:val="0A9E6665"/>
    <w:rsid w:val="0B15CB59"/>
    <w:rsid w:val="0CB5E8C2"/>
    <w:rsid w:val="0D22E0C9"/>
    <w:rsid w:val="0D51434D"/>
    <w:rsid w:val="0DBB7E04"/>
    <w:rsid w:val="0DC339CF"/>
    <w:rsid w:val="0EA2FE57"/>
    <w:rsid w:val="0EDF8D28"/>
    <w:rsid w:val="0F3A07E7"/>
    <w:rsid w:val="0F62F40B"/>
    <w:rsid w:val="1011F2A0"/>
    <w:rsid w:val="10220EEA"/>
    <w:rsid w:val="128E8716"/>
    <w:rsid w:val="12C4F3BC"/>
    <w:rsid w:val="1322594D"/>
    <w:rsid w:val="13EDE7F5"/>
    <w:rsid w:val="157586CE"/>
    <w:rsid w:val="158BC153"/>
    <w:rsid w:val="17EBE886"/>
    <w:rsid w:val="18C87780"/>
    <w:rsid w:val="1997BA79"/>
    <w:rsid w:val="1B867FE9"/>
    <w:rsid w:val="1C001842"/>
    <w:rsid w:val="1CCC71FF"/>
    <w:rsid w:val="1DBFCF7F"/>
    <w:rsid w:val="1F7816BF"/>
    <w:rsid w:val="200412C1"/>
    <w:rsid w:val="200F8B50"/>
    <w:rsid w:val="207921B3"/>
    <w:rsid w:val="20ABDC1E"/>
    <w:rsid w:val="2126CB74"/>
    <w:rsid w:val="217E2109"/>
    <w:rsid w:val="2209EC5D"/>
    <w:rsid w:val="220FAFA1"/>
    <w:rsid w:val="223E5774"/>
    <w:rsid w:val="22C29BD5"/>
    <w:rsid w:val="23B1288D"/>
    <w:rsid w:val="245E6C36"/>
    <w:rsid w:val="24B54DCF"/>
    <w:rsid w:val="25A14332"/>
    <w:rsid w:val="25FA3C97"/>
    <w:rsid w:val="27A13D37"/>
    <w:rsid w:val="286FE92C"/>
    <w:rsid w:val="28F4B640"/>
    <w:rsid w:val="29A81F36"/>
    <w:rsid w:val="2AB7C58D"/>
    <w:rsid w:val="2B073B7F"/>
    <w:rsid w:val="2B35251E"/>
    <w:rsid w:val="2B4DE7D9"/>
    <w:rsid w:val="2B6D8316"/>
    <w:rsid w:val="2C3A885B"/>
    <w:rsid w:val="2CA730DD"/>
    <w:rsid w:val="2D27F093"/>
    <w:rsid w:val="2D5FC743"/>
    <w:rsid w:val="2F06282D"/>
    <w:rsid w:val="2FFC9151"/>
    <w:rsid w:val="30F833DF"/>
    <w:rsid w:val="31FB61B6"/>
    <w:rsid w:val="332CBB35"/>
    <w:rsid w:val="343ACA1B"/>
    <w:rsid w:val="34497E54"/>
    <w:rsid w:val="34788CAE"/>
    <w:rsid w:val="34CFA44C"/>
    <w:rsid w:val="356852F3"/>
    <w:rsid w:val="35E64E51"/>
    <w:rsid w:val="363FEDC8"/>
    <w:rsid w:val="367E2D6F"/>
    <w:rsid w:val="3922105C"/>
    <w:rsid w:val="398BD2DD"/>
    <w:rsid w:val="39A2C5A4"/>
    <w:rsid w:val="39FDF7A8"/>
    <w:rsid w:val="3A06739B"/>
    <w:rsid w:val="3AB4DA73"/>
    <w:rsid w:val="3C50E360"/>
    <w:rsid w:val="3D208D11"/>
    <w:rsid w:val="3F1D398B"/>
    <w:rsid w:val="4028C44E"/>
    <w:rsid w:val="40E47DF7"/>
    <w:rsid w:val="41908BDB"/>
    <w:rsid w:val="41F29C1B"/>
    <w:rsid w:val="427BA0D4"/>
    <w:rsid w:val="42826EC1"/>
    <w:rsid w:val="43DDD9BB"/>
    <w:rsid w:val="450774DA"/>
    <w:rsid w:val="45209186"/>
    <w:rsid w:val="45515160"/>
    <w:rsid w:val="456989C7"/>
    <w:rsid w:val="460D35B9"/>
    <w:rsid w:val="4665C36A"/>
    <w:rsid w:val="47274A47"/>
    <w:rsid w:val="478E7FE3"/>
    <w:rsid w:val="47EFD947"/>
    <w:rsid w:val="48509F4C"/>
    <w:rsid w:val="4960F140"/>
    <w:rsid w:val="49884915"/>
    <w:rsid w:val="4B661FEA"/>
    <w:rsid w:val="4BDC7D6A"/>
    <w:rsid w:val="4BFA77C2"/>
    <w:rsid w:val="4C696D4E"/>
    <w:rsid w:val="4C789648"/>
    <w:rsid w:val="4C96A6FC"/>
    <w:rsid w:val="4D1F034C"/>
    <w:rsid w:val="4DAF8A79"/>
    <w:rsid w:val="4DF8F034"/>
    <w:rsid w:val="523D2C4D"/>
    <w:rsid w:val="52FCBE20"/>
    <w:rsid w:val="531FFA4F"/>
    <w:rsid w:val="54BF38AD"/>
    <w:rsid w:val="560399CF"/>
    <w:rsid w:val="56F17839"/>
    <w:rsid w:val="5AD67D06"/>
    <w:rsid w:val="5BA13A07"/>
    <w:rsid w:val="5BBAD1ED"/>
    <w:rsid w:val="5C0173B7"/>
    <w:rsid w:val="5C72DB53"/>
    <w:rsid w:val="5D01F187"/>
    <w:rsid w:val="5DEA8C87"/>
    <w:rsid w:val="5E4CE40D"/>
    <w:rsid w:val="5F2136D1"/>
    <w:rsid w:val="5F38B97A"/>
    <w:rsid w:val="60E33CA5"/>
    <w:rsid w:val="62610EBF"/>
    <w:rsid w:val="63C7C0D1"/>
    <w:rsid w:val="65B137A4"/>
    <w:rsid w:val="6994CA57"/>
    <w:rsid w:val="6B1E40A7"/>
    <w:rsid w:val="6FEBFB4D"/>
    <w:rsid w:val="7012AE68"/>
    <w:rsid w:val="701B0056"/>
    <w:rsid w:val="703F881F"/>
    <w:rsid w:val="7056425C"/>
    <w:rsid w:val="70A1ACBE"/>
    <w:rsid w:val="70EDC1EC"/>
    <w:rsid w:val="70EDE886"/>
    <w:rsid w:val="71FD2922"/>
    <w:rsid w:val="7447EC81"/>
    <w:rsid w:val="759AF279"/>
    <w:rsid w:val="765A1458"/>
    <w:rsid w:val="770D5710"/>
    <w:rsid w:val="77C999EC"/>
    <w:rsid w:val="786868E0"/>
    <w:rsid w:val="78D35BF5"/>
    <w:rsid w:val="79634116"/>
    <w:rsid w:val="79768E13"/>
    <w:rsid w:val="79C03BA5"/>
    <w:rsid w:val="7A8F7D52"/>
    <w:rsid w:val="7AC9ACB9"/>
    <w:rsid w:val="7BF7427E"/>
    <w:rsid w:val="7C019C52"/>
    <w:rsid w:val="7C1C2575"/>
    <w:rsid w:val="7EF944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B18DD"/>
  <w15:chartTrackingRefBased/>
  <w15:docId w15:val="{C86868B8-6721-4F69-B5CF-8D250CED1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DCF"/>
    <w:rPr>
      <w:rFonts w:ascii="Times New Roman" w:hAnsi="Times New Roman"/>
      <w:sz w:val="24"/>
    </w:rPr>
  </w:style>
  <w:style w:type="paragraph" w:styleId="Heading1">
    <w:name w:val="heading 1"/>
    <w:basedOn w:val="Normal"/>
    <w:link w:val="Heading1Char"/>
    <w:uiPriority w:val="9"/>
    <w:qFormat/>
    <w:rsid w:val="00874291"/>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iPriority w:val="9"/>
    <w:semiHidden/>
    <w:unhideWhenUsed/>
    <w:qFormat/>
    <w:rsid w:val="00D565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4DCF"/>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544DCF"/>
    <w:pPr>
      <w:ind w:left="720"/>
      <w:contextualSpacing/>
    </w:pPr>
  </w:style>
  <w:style w:type="table" w:styleId="TableGridLight">
    <w:name w:val="Grid Table Light"/>
    <w:basedOn w:val="TableNormal"/>
    <w:uiPriority w:val="40"/>
    <w:rsid w:val="00544DCF"/>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rsid w:val="00544DCF"/>
    <w:pPr>
      <w:tabs>
        <w:tab w:val="center" w:pos="4320"/>
        <w:tab w:val="right" w:pos="8640"/>
      </w:tabs>
      <w:spacing w:after="0" w:line="240" w:lineRule="auto"/>
      <w:ind w:firstLine="720"/>
    </w:pPr>
    <w:rPr>
      <w:rFonts w:eastAsia="Times New Roman" w:cs="Times New Roman"/>
      <w:szCs w:val="24"/>
    </w:rPr>
  </w:style>
  <w:style w:type="character" w:customStyle="1" w:styleId="FooterChar">
    <w:name w:val="Footer Char"/>
    <w:basedOn w:val="DefaultParagraphFont"/>
    <w:link w:val="Footer"/>
    <w:uiPriority w:val="99"/>
    <w:rsid w:val="00544DCF"/>
    <w:rPr>
      <w:rFonts w:ascii="Times New Roman" w:eastAsia="Times New Roman" w:hAnsi="Times New Roman" w:cs="Times New Roman"/>
      <w:sz w:val="24"/>
      <w:szCs w:val="24"/>
    </w:rPr>
  </w:style>
  <w:style w:type="paragraph" w:styleId="BodyText">
    <w:name w:val="Body Text"/>
    <w:basedOn w:val="Normal"/>
    <w:link w:val="BodyTextChar"/>
    <w:uiPriority w:val="99"/>
    <w:rsid w:val="00544DCF"/>
    <w:pPr>
      <w:spacing w:after="0"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544DCF"/>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544DCF"/>
  </w:style>
  <w:style w:type="paragraph" w:styleId="FootnoteText">
    <w:name w:val="footnote text"/>
    <w:aliases w:val="FT"/>
    <w:basedOn w:val="Normal"/>
    <w:link w:val="FootnoteTextChar"/>
    <w:rsid w:val="00D10523"/>
    <w:pPr>
      <w:spacing w:after="0" w:line="240" w:lineRule="auto"/>
    </w:pPr>
    <w:rPr>
      <w:rFonts w:eastAsia="Times New Roman" w:cs="Times New Roman"/>
      <w:sz w:val="20"/>
      <w:szCs w:val="20"/>
    </w:rPr>
  </w:style>
  <w:style w:type="character" w:customStyle="1" w:styleId="FootnoteTextChar">
    <w:name w:val="Footnote Text Char"/>
    <w:aliases w:val="FT Char"/>
    <w:basedOn w:val="DefaultParagraphFont"/>
    <w:link w:val="FootnoteText"/>
    <w:rsid w:val="00D10523"/>
    <w:rPr>
      <w:rFonts w:ascii="Times New Roman" w:eastAsia="Times New Roman" w:hAnsi="Times New Roman" w:cs="Times New Roman"/>
      <w:sz w:val="20"/>
      <w:szCs w:val="20"/>
    </w:rPr>
  </w:style>
  <w:style w:type="character" w:styleId="FootnoteReference">
    <w:name w:val="footnote reference"/>
    <w:uiPriority w:val="99"/>
    <w:rsid w:val="00D10523"/>
    <w:rPr>
      <w:vertAlign w:val="superscript"/>
    </w:rPr>
  </w:style>
  <w:style w:type="character" w:styleId="Hyperlink">
    <w:name w:val="Hyperlink"/>
    <w:rsid w:val="00D10523"/>
    <w:rPr>
      <w:rFonts w:ascii="Verdana" w:hAnsi="Verdana" w:hint="default"/>
      <w:color w:val="0066CC"/>
      <w:sz w:val="17"/>
      <w:szCs w:val="17"/>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A1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6FD"/>
    <w:rPr>
      <w:rFonts w:ascii="Segoe UI" w:hAnsi="Segoe UI" w:cs="Segoe UI"/>
      <w:sz w:val="18"/>
      <w:szCs w:val="18"/>
    </w:rPr>
  </w:style>
  <w:style w:type="character" w:styleId="Strong">
    <w:name w:val="Strong"/>
    <w:basedOn w:val="DefaultParagraphFont"/>
    <w:uiPriority w:val="22"/>
    <w:qFormat/>
    <w:rsid w:val="002B736E"/>
    <w:rPr>
      <w:b/>
      <w:bCs/>
    </w:rPr>
  </w:style>
  <w:style w:type="character" w:styleId="Emphasis">
    <w:name w:val="Emphasis"/>
    <w:basedOn w:val="DefaultParagraphFont"/>
    <w:uiPriority w:val="20"/>
    <w:qFormat/>
    <w:rsid w:val="00F9232E"/>
    <w:rPr>
      <w:i/>
      <w:iCs/>
    </w:rPr>
  </w:style>
  <w:style w:type="character" w:styleId="FollowedHyperlink">
    <w:name w:val="FollowedHyperlink"/>
    <w:basedOn w:val="DefaultParagraphFont"/>
    <w:uiPriority w:val="99"/>
    <w:semiHidden/>
    <w:unhideWhenUsed/>
    <w:rsid w:val="00172B0C"/>
    <w:rPr>
      <w:color w:val="954F72" w:themeColor="followedHyperlink"/>
      <w:u w:val="single"/>
    </w:rPr>
  </w:style>
  <w:style w:type="paragraph" w:customStyle="1" w:styleId="paragraph">
    <w:name w:val="paragraph"/>
    <w:basedOn w:val="Normal"/>
    <w:rsid w:val="00A2493B"/>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A2493B"/>
  </w:style>
  <w:style w:type="character" w:customStyle="1" w:styleId="eop">
    <w:name w:val="eop"/>
    <w:basedOn w:val="DefaultParagraphFont"/>
    <w:rsid w:val="00A2493B"/>
  </w:style>
  <w:style w:type="paragraph" w:styleId="CommentSubject">
    <w:name w:val="annotation subject"/>
    <w:basedOn w:val="CommentText"/>
    <w:next w:val="CommentText"/>
    <w:link w:val="CommentSubjectChar"/>
    <w:uiPriority w:val="99"/>
    <w:semiHidden/>
    <w:unhideWhenUsed/>
    <w:rsid w:val="002A29EF"/>
    <w:rPr>
      <w:b/>
      <w:bCs/>
    </w:rPr>
  </w:style>
  <w:style w:type="character" w:customStyle="1" w:styleId="CommentSubjectChar">
    <w:name w:val="Comment Subject Char"/>
    <w:basedOn w:val="CommentTextChar"/>
    <w:link w:val="CommentSubject"/>
    <w:uiPriority w:val="99"/>
    <w:semiHidden/>
    <w:rsid w:val="002A29EF"/>
    <w:rPr>
      <w:rFonts w:ascii="Times New Roman" w:hAnsi="Times New Roman"/>
      <w:b/>
      <w:bCs/>
      <w:sz w:val="20"/>
      <w:szCs w:val="20"/>
    </w:rPr>
  </w:style>
  <w:style w:type="character" w:customStyle="1" w:styleId="ui-provider">
    <w:name w:val="ui-provider"/>
    <w:basedOn w:val="DefaultParagraphFont"/>
    <w:rsid w:val="00EA69B6"/>
  </w:style>
  <w:style w:type="paragraph" w:styleId="NoSpacing">
    <w:name w:val="No Spacing"/>
    <w:uiPriority w:val="1"/>
    <w:qFormat/>
    <w:rsid w:val="00F308B7"/>
    <w:pPr>
      <w:spacing w:after="0" w:line="24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BB3AF4"/>
    <w:rPr>
      <w:color w:val="605E5C"/>
      <w:shd w:val="clear" w:color="auto" w:fill="E1DFDD"/>
    </w:rPr>
  </w:style>
  <w:style w:type="character" w:customStyle="1" w:styleId="UnresolvedMention2">
    <w:name w:val="Unresolved Mention2"/>
    <w:basedOn w:val="DefaultParagraphFont"/>
    <w:uiPriority w:val="99"/>
    <w:semiHidden/>
    <w:unhideWhenUsed/>
    <w:rsid w:val="0096591F"/>
    <w:rPr>
      <w:color w:val="605E5C"/>
      <w:shd w:val="clear" w:color="auto" w:fill="E1DFDD"/>
    </w:rPr>
  </w:style>
  <w:style w:type="character" w:customStyle="1" w:styleId="Heading1Char">
    <w:name w:val="Heading 1 Char"/>
    <w:basedOn w:val="DefaultParagraphFont"/>
    <w:link w:val="Heading1"/>
    <w:uiPriority w:val="9"/>
    <w:rsid w:val="00874291"/>
    <w:rPr>
      <w:rFonts w:ascii="Times New Roman" w:eastAsia="Times New Roman" w:hAnsi="Times New Roman" w:cs="Times New Roman"/>
      <w:b/>
      <w:bCs/>
      <w:kern w:val="36"/>
      <w:sz w:val="48"/>
      <w:szCs w:val="48"/>
    </w:rPr>
  </w:style>
  <w:style w:type="paragraph" w:styleId="Revision">
    <w:name w:val="Revision"/>
    <w:hidden/>
    <w:uiPriority w:val="99"/>
    <w:semiHidden/>
    <w:rsid w:val="004C5CE3"/>
    <w:pPr>
      <w:spacing w:after="0" w:line="240" w:lineRule="auto"/>
    </w:pPr>
    <w:rPr>
      <w:rFonts w:ascii="Times New Roman" w:hAnsi="Times New Roman"/>
      <w:sz w:val="24"/>
    </w:rPr>
  </w:style>
  <w:style w:type="character" w:customStyle="1" w:styleId="UnresolvedMention3">
    <w:name w:val="Unresolved Mention3"/>
    <w:basedOn w:val="DefaultParagraphFont"/>
    <w:uiPriority w:val="99"/>
    <w:semiHidden/>
    <w:unhideWhenUsed/>
    <w:rsid w:val="00562C10"/>
    <w:rPr>
      <w:color w:val="605E5C"/>
      <w:shd w:val="clear" w:color="auto" w:fill="E1DFDD"/>
    </w:rPr>
  </w:style>
  <w:style w:type="character" w:customStyle="1" w:styleId="UnresolvedMention4">
    <w:name w:val="Unresolved Mention4"/>
    <w:basedOn w:val="DefaultParagraphFont"/>
    <w:uiPriority w:val="99"/>
    <w:semiHidden/>
    <w:unhideWhenUsed/>
    <w:rsid w:val="00623E95"/>
    <w:rPr>
      <w:color w:val="605E5C"/>
      <w:shd w:val="clear" w:color="auto" w:fill="E1DFDD"/>
    </w:rPr>
  </w:style>
  <w:style w:type="paragraph" w:styleId="EndnoteText">
    <w:name w:val="endnote text"/>
    <w:basedOn w:val="Normal"/>
    <w:uiPriority w:val="99"/>
    <w:semiHidden/>
    <w:unhideWhenUsed/>
    <w:rsid w:val="343ACA1B"/>
    <w:pPr>
      <w:spacing w:after="0" w:line="240" w:lineRule="auto"/>
    </w:pPr>
    <w:rPr>
      <w:sz w:val="20"/>
      <w:szCs w:val="20"/>
    </w:rPr>
  </w:style>
  <w:style w:type="character" w:styleId="EndnoteReference">
    <w:name w:val="endnote reference"/>
    <w:basedOn w:val="DefaultParagraphFont"/>
    <w:uiPriority w:val="99"/>
    <w:semiHidden/>
    <w:unhideWhenUsed/>
    <w:rsid w:val="343ACA1B"/>
    <w:rPr>
      <w:vertAlign w:val="superscript"/>
    </w:rPr>
  </w:style>
  <w:style w:type="character" w:customStyle="1" w:styleId="Heading2Char">
    <w:name w:val="Heading 2 Char"/>
    <w:basedOn w:val="DefaultParagraphFont"/>
    <w:link w:val="Heading2"/>
    <w:uiPriority w:val="9"/>
    <w:semiHidden/>
    <w:rsid w:val="00D565B1"/>
    <w:rPr>
      <w:rFonts w:asciiTheme="majorHAnsi" w:eastAsiaTheme="majorEastAsia" w:hAnsiTheme="majorHAnsi" w:cstheme="majorBidi"/>
      <w:color w:val="2E74B5" w:themeColor="accent1" w:themeShade="BF"/>
      <w:sz w:val="26"/>
      <w:szCs w:val="26"/>
    </w:rPr>
  </w:style>
  <w:style w:type="character" w:customStyle="1" w:styleId="Mention1">
    <w:name w:val="Mention1"/>
    <w:basedOn w:val="DefaultParagraphFont"/>
    <w:uiPriority w:val="99"/>
    <w:unhideWhenUsed/>
    <w:rsid w:val="005F295D"/>
    <w:rPr>
      <w:color w:val="2B579A"/>
      <w:shd w:val="clear" w:color="auto" w:fill="E1DFDD"/>
    </w:rPr>
  </w:style>
  <w:style w:type="character" w:styleId="UnresolvedMention">
    <w:name w:val="Unresolved Mention"/>
    <w:basedOn w:val="DefaultParagraphFont"/>
    <w:uiPriority w:val="99"/>
    <w:semiHidden/>
    <w:unhideWhenUsed/>
    <w:rsid w:val="00467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846">
      <w:bodyDiv w:val="1"/>
      <w:marLeft w:val="0"/>
      <w:marRight w:val="0"/>
      <w:marTop w:val="0"/>
      <w:marBottom w:val="0"/>
      <w:divBdr>
        <w:top w:val="none" w:sz="0" w:space="0" w:color="auto"/>
        <w:left w:val="none" w:sz="0" w:space="0" w:color="auto"/>
        <w:bottom w:val="none" w:sz="0" w:space="0" w:color="auto"/>
        <w:right w:val="none" w:sz="0" w:space="0" w:color="auto"/>
      </w:divBdr>
    </w:div>
    <w:div w:id="259684373">
      <w:bodyDiv w:val="1"/>
      <w:marLeft w:val="0"/>
      <w:marRight w:val="0"/>
      <w:marTop w:val="0"/>
      <w:marBottom w:val="0"/>
      <w:divBdr>
        <w:top w:val="none" w:sz="0" w:space="0" w:color="auto"/>
        <w:left w:val="none" w:sz="0" w:space="0" w:color="auto"/>
        <w:bottom w:val="none" w:sz="0" w:space="0" w:color="auto"/>
        <w:right w:val="none" w:sz="0" w:space="0" w:color="auto"/>
      </w:divBdr>
    </w:div>
    <w:div w:id="266621555">
      <w:bodyDiv w:val="1"/>
      <w:marLeft w:val="0"/>
      <w:marRight w:val="0"/>
      <w:marTop w:val="0"/>
      <w:marBottom w:val="0"/>
      <w:divBdr>
        <w:top w:val="none" w:sz="0" w:space="0" w:color="auto"/>
        <w:left w:val="none" w:sz="0" w:space="0" w:color="auto"/>
        <w:bottom w:val="none" w:sz="0" w:space="0" w:color="auto"/>
        <w:right w:val="none" w:sz="0" w:space="0" w:color="auto"/>
      </w:divBdr>
    </w:div>
    <w:div w:id="352077961">
      <w:bodyDiv w:val="1"/>
      <w:marLeft w:val="0"/>
      <w:marRight w:val="0"/>
      <w:marTop w:val="0"/>
      <w:marBottom w:val="0"/>
      <w:divBdr>
        <w:top w:val="none" w:sz="0" w:space="0" w:color="auto"/>
        <w:left w:val="none" w:sz="0" w:space="0" w:color="auto"/>
        <w:bottom w:val="none" w:sz="0" w:space="0" w:color="auto"/>
        <w:right w:val="none" w:sz="0" w:space="0" w:color="auto"/>
      </w:divBdr>
    </w:div>
    <w:div w:id="598441195">
      <w:bodyDiv w:val="1"/>
      <w:marLeft w:val="0"/>
      <w:marRight w:val="0"/>
      <w:marTop w:val="0"/>
      <w:marBottom w:val="0"/>
      <w:divBdr>
        <w:top w:val="none" w:sz="0" w:space="0" w:color="auto"/>
        <w:left w:val="none" w:sz="0" w:space="0" w:color="auto"/>
        <w:bottom w:val="none" w:sz="0" w:space="0" w:color="auto"/>
        <w:right w:val="none" w:sz="0" w:space="0" w:color="auto"/>
      </w:divBdr>
      <w:divsChild>
        <w:div w:id="313686603">
          <w:marLeft w:val="0"/>
          <w:marRight w:val="0"/>
          <w:marTop w:val="0"/>
          <w:marBottom w:val="0"/>
          <w:divBdr>
            <w:top w:val="none" w:sz="0" w:space="0" w:color="auto"/>
            <w:left w:val="none" w:sz="0" w:space="0" w:color="auto"/>
            <w:bottom w:val="none" w:sz="0" w:space="0" w:color="auto"/>
            <w:right w:val="none" w:sz="0" w:space="0" w:color="auto"/>
          </w:divBdr>
        </w:div>
        <w:div w:id="338771316">
          <w:marLeft w:val="0"/>
          <w:marRight w:val="0"/>
          <w:marTop w:val="0"/>
          <w:marBottom w:val="0"/>
          <w:divBdr>
            <w:top w:val="none" w:sz="0" w:space="0" w:color="auto"/>
            <w:left w:val="none" w:sz="0" w:space="0" w:color="auto"/>
            <w:bottom w:val="none" w:sz="0" w:space="0" w:color="auto"/>
            <w:right w:val="none" w:sz="0" w:space="0" w:color="auto"/>
          </w:divBdr>
        </w:div>
        <w:div w:id="462432817">
          <w:marLeft w:val="0"/>
          <w:marRight w:val="0"/>
          <w:marTop w:val="0"/>
          <w:marBottom w:val="0"/>
          <w:divBdr>
            <w:top w:val="none" w:sz="0" w:space="0" w:color="auto"/>
            <w:left w:val="none" w:sz="0" w:space="0" w:color="auto"/>
            <w:bottom w:val="none" w:sz="0" w:space="0" w:color="auto"/>
            <w:right w:val="none" w:sz="0" w:space="0" w:color="auto"/>
          </w:divBdr>
        </w:div>
        <w:div w:id="468740729">
          <w:marLeft w:val="0"/>
          <w:marRight w:val="0"/>
          <w:marTop w:val="0"/>
          <w:marBottom w:val="0"/>
          <w:divBdr>
            <w:top w:val="none" w:sz="0" w:space="0" w:color="auto"/>
            <w:left w:val="none" w:sz="0" w:space="0" w:color="auto"/>
            <w:bottom w:val="none" w:sz="0" w:space="0" w:color="auto"/>
            <w:right w:val="none" w:sz="0" w:space="0" w:color="auto"/>
          </w:divBdr>
        </w:div>
        <w:div w:id="524825381">
          <w:marLeft w:val="0"/>
          <w:marRight w:val="0"/>
          <w:marTop w:val="0"/>
          <w:marBottom w:val="0"/>
          <w:divBdr>
            <w:top w:val="none" w:sz="0" w:space="0" w:color="auto"/>
            <w:left w:val="none" w:sz="0" w:space="0" w:color="auto"/>
            <w:bottom w:val="none" w:sz="0" w:space="0" w:color="auto"/>
            <w:right w:val="none" w:sz="0" w:space="0" w:color="auto"/>
          </w:divBdr>
        </w:div>
        <w:div w:id="612711489">
          <w:marLeft w:val="0"/>
          <w:marRight w:val="0"/>
          <w:marTop w:val="0"/>
          <w:marBottom w:val="0"/>
          <w:divBdr>
            <w:top w:val="none" w:sz="0" w:space="0" w:color="auto"/>
            <w:left w:val="none" w:sz="0" w:space="0" w:color="auto"/>
            <w:bottom w:val="none" w:sz="0" w:space="0" w:color="auto"/>
            <w:right w:val="none" w:sz="0" w:space="0" w:color="auto"/>
          </w:divBdr>
        </w:div>
        <w:div w:id="725766391">
          <w:marLeft w:val="0"/>
          <w:marRight w:val="0"/>
          <w:marTop w:val="0"/>
          <w:marBottom w:val="0"/>
          <w:divBdr>
            <w:top w:val="none" w:sz="0" w:space="0" w:color="auto"/>
            <w:left w:val="none" w:sz="0" w:space="0" w:color="auto"/>
            <w:bottom w:val="none" w:sz="0" w:space="0" w:color="auto"/>
            <w:right w:val="none" w:sz="0" w:space="0" w:color="auto"/>
          </w:divBdr>
        </w:div>
        <w:div w:id="843280779">
          <w:marLeft w:val="0"/>
          <w:marRight w:val="0"/>
          <w:marTop w:val="0"/>
          <w:marBottom w:val="0"/>
          <w:divBdr>
            <w:top w:val="none" w:sz="0" w:space="0" w:color="auto"/>
            <w:left w:val="none" w:sz="0" w:space="0" w:color="auto"/>
            <w:bottom w:val="none" w:sz="0" w:space="0" w:color="auto"/>
            <w:right w:val="none" w:sz="0" w:space="0" w:color="auto"/>
          </w:divBdr>
        </w:div>
        <w:div w:id="916482343">
          <w:marLeft w:val="0"/>
          <w:marRight w:val="0"/>
          <w:marTop w:val="0"/>
          <w:marBottom w:val="0"/>
          <w:divBdr>
            <w:top w:val="none" w:sz="0" w:space="0" w:color="auto"/>
            <w:left w:val="none" w:sz="0" w:space="0" w:color="auto"/>
            <w:bottom w:val="none" w:sz="0" w:space="0" w:color="auto"/>
            <w:right w:val="none" w:sz="0" w:space="0" w:color="auto"/>
          </w:divBdr>
        </w:div>
        <w:div w:id="937980359">
          <w:marLeft w:val="0"/>
          <w:marRight w:val="0"/>
          <w:marTop w:val="0"/>
          <w:marBottom w:val="0"/>
          <w:divBdr>
            <w:top w:val="none" w:sz="0" w:space="0" w:color="auto"/>
            <w:left w:val="none" w:sz="0" w:space="0" w:color="auto"/>
            <w:bottom w:val="none" w:sz="0" w:space="0" w:color="auto"/>
            <w:right w:val="none" w:sz="0" w:space="0" w:color="auto"/>
          </w:divBdr>
        </w:div>
        <w:div w:id="990718738">
          <w:marLeft w:val="0"/>
          <w:marRight w:val="0"/>
          <w:marTop w:val="0"/>
          <w:marBottom w:val="0"/>
          <w:divBdr>
            <w:top w:val="none" w:sz="0" w:space="0" w:color="auto"/>
            <w:left w:val="none" w:sz="0" w:space="0" w:color="auto"/>
            <w:bottom w:val="none" w:sz="0" w:space="0" w:color="auto"/>
            <w:right w:val="none" w:sz="0" w:space="0" w:color="auto"/>
          </w:divBdr>
        </w:div>
        <w:div w:id="1262032511">
          <w:marLeft w:val="0"/>
          <w:marRight w:val="0"/>
          <w:marTop w:val="0"/>
          <w:marBottom w:val="0"/>
          <w:divBdr>
            <w:top w:val="none" w:sz="0" w:space="0" w:color="auto"/>
            <w:left w:val="none" w:sz="0" w:space="0" w:color="auto"/>
            <w:bottom w:val="none" w:sz="0" w:space="0" w:color="auto"/>
            <w:right w:val="none" w:sz="0" w:space="0" w:color="auto"/>
          </w:divBdr>
        </w:div>
        <w:div w:id="1424103924">
          <w:marLeft w:val="0"/>
          <w:marRight w:val="0"/>
          <w:marTop w:val="0"/>
          <w:marBottom w:val="0"/>
          <w:divBdr>
            <w:top w:val="none" w:sz="0" w:space="0" w:color="auto"/>
            <w:left w:val="none" w:sz="0" w:space="0" w:color="auto"/>
            <w:bottom w:val="none" w:sz="0" w:space="0" w:color="auto"/>
            <w:right w:val="none" w:sz="0" w:space="0" w:color="auto"/>
          </w:divBdr>
        </w:div>
        <w:div w:id="1454130439">
          <w:marLeft w:val="0"/>
          <w:marRight w:val="0"/>
          <w:marTop w:val="0"/>
          <w:marBottom w:val="0"/>
          <w:divBdr>
            <w:top w:val="none" w:sz="0" w:space="0" w:color="auto"/>
            <w:left w:val="none" w:sz="0" w:space="0" w:color="auto"/>
            <w:bottom w:val="none" w:sz="0" w:space="0" w:color="auto"/>
            <w:right w:val="none" w:sz="0" w:space="0" w:color="auto"/>
          </w:divBdr>
        </w:div>
        <w:div w:id="1851523656">
          <w:marLeft w:val="0"/>
          <w:marRight w:val="0"/>
          <w:marTop w:val="0"/>
          <w:marBottom w:val="0"/>
          <w:divBdr>
            <w:top w:val="none" w:sz="0" w:space="0" w:color="auto"/>
            <w:left w:val="none" w:sz="0" w:space="0" w:color="auto"/>
            <w:bottom w:val="none" w:sz="0" w:space="0" w:color="auto"/>
            <w:right w:val="none" w:sz="0" w:space="0" w:color="auto"/>
          </w:divBdr>
        </w:div>
        <w:div w:id="2057505487">
          <w:marLeft w:val="0"/>
          <w:marRight w:val="0"/>
          <w:marTop w:val="0"/>
          <w:marBottom w:val="0"/>
          <w:divBdr>
            <w:top w:val="none" w:sz="0" w:space="0" w:color="auto"/>
            <w:left w:val="none" w:sz="0" w:space="0" w:color="auto"/>
            <w:bottom w:val="none" w:sz="0" w:space="0" w:color="auto"/>
            <w:right w:val="none" w:sz="0" w:space="0" w:color="auto"/>
          </w:divBdr>
        </w:div>
        <w:div w:id="2094617899">
          <w:marLeft w:val="0"/>
          <w:marRight w:val="0"/>
          <w:marTop w:val="0"/>
          <w:marBottom w:val="0"/>
          <w:divBdr>
            <w:top w:val="none" w:sz="0" w:space="0" w:color="auto"/>
            <w:left w:val="none" w:sz="0" w:space="0" w:color="auto"/>
            <w:bottom w:val="none" w:sz="0" w:space="0" w:color="auto"/>
            <w:right w:val="none" w:sz="0" w:space="0" w:color="auto"/>
          </w:divBdr>
        </w:div>
      </w:divsChild>
    </w:div>
    <w:div w:id="635648721">
      <w:bodyDiv w:val="1"/>
      <w:marLeft w:val="0"/>
      <w:marRight w:val="0"/>
      <w:marTop w:val="0"/>
      <w:marBottom w:val="0"/>
      <w:divBdr>
        <w:top w:val="none" w:sz="0" w:space="0" w:color="auto"/>
        <w:left w:val="none" w:sz="0" w:space="0" w:color="auto"/>
        <w:bottom w:val="none" w:sz="0" w:space="0" w:color="auto"/>
        <w:right w:val="none" w:sz="0" w:space="0" w:color="auto"/>
      </w:divBdr>
      <w:divsChild>
        <w:div w:id="18632021">
          <w:marLeft w:val="0"/>
          <w:marRight w:val="0"/>
          <w:marTop w:val="0"/>
          <w:marBottom w:val="0"/>
          <w:divBdr>
            <w:top w:val="none" w:sz="0" w:space="0" w:color="auto"/>
            <w:left w:val="none" w:sz="0" w:space="0" w:color="auto"/>
            <w:bottom w:val="none" w:sz="0" w:space="0" w:color="auto"/>
            <w:right w:val="none" w:sz="0" w:space="0" w:color="auto"/>
          </w:divBdr>
        </w:div>
        <w:div w:id="24066185">
          <w:marLeft w:val="0"/>
          <w:marRight w:val="0"/>
          <w:marTop w:val="0"/>
          <w:marBottom w:val="0"/>
          <w:divBdr>
            <w:top w:val="none" w:sz="0" w:space="0" w:color="auto"/>
            <w:left w:val="none" w:sz="0" w:space="0" w:color="auto"/>
            <w:bottom w:val="none" w:sz="0" w:space="0" w:color="auto"/>
            <w:right w:val="none" w:sz="0" w:space="0" w:color="auto"/>
          </w:divBdr>
        </w:div>
        <w:div w:id="44379484">
          <w:marLeft w:val="0"/>
          <w:marRight w:val="0"/>
          <w:marTop w:val="0"/>
          <w:marBottom w:val="0"/>
          <w:divBdr>
            <w:top w:val="none" w:sz="0" w:space="0" w:color="auto"/>
            <w:left w:val="none" w:sz="0" w:space="0" w:color="auto"/>
            <w:bottom w:val="none" w:sz="0" w:space="0" w:color="auto"/>
            <w:right w:val="none" w:sz="0" w:space="0" w:color="auto"/>
          </w:divBdr>
        </w:div>
        <w:div w:id="206725384">
          <w:marLeft w:val="0"/>
          <w:marRight w:val="0"/>
          <w:marTop w:val="0"/>
          <w:marBottom w:val="0"/>
          <w:divBdr>
            <w:top w:val="none" w:sz="0" w:space="0" w:color="auto"/>
            <w:left w:val="none" w:sz="0" w:space="0" w:color="auto"/>
            <w:bottom w:val="none" w:sz="0" w:space="0" w:color="auto"/>
            <w:right w:val="none" w:sz="0" w:space="0" w:color="auto"/>
          </w:divBdr>
        </w:div>
        <w:div w:id="334919459">
          <w:marLeft w:val="0"/>
          <w:marRight w:val="0"/>
          <w:marTop w:val="0"/>
          <w:marBottom w:val="0"/>
          <w:divBdr>
            <w:top w:val="none" w:sz="0" w:space="0" w:color="auto"/>
            <w:left w:val="none" w:sz="0" w:space="0" w:color="auto"/>
            <w:bottom w:val="none" w:sz="0" w:space="0" w:color="auto"/>
            <w:right w:val="none" w:sz="0" w:space="0" w:color="auto"/>
          </w:divBdr>
        </w:div>
        <w:div w:id="423192471">
          <w:marLeft w:val="0"/>
          <w:marRight w:val="0"/>
          <w:marTop w:val="0"/>
          <w:marBottom w:val="0"/>
          <w:divBdr>
            <w:top w:val="none" w:sz="0" w:space="0" w:color="auto"/>
            <w:left w:val="none" w:sz="0" w:space="0" w:color="auto"/>
            <w:bottom w:val="none" w:sz="0" w:space="0" w:color="auto"/>
            <w:right w:val="none" w:sz="0" w:space="0" w:color="auto"/>
          </w:divBdr>
        </w:div>
        <w:div w:id="511451615">
          <w:marLeft w:val="0"/>
          <w:marRight w:val="0"/>
          <w:marTop w:val="0"/>
          <w:marBottom w:val="0"/>
          <w:divBdr>
            <w:top w:val="none" w:sz="0" w:space="0" w:color="auto"/>
            <w:left w:val="none" w:sz="0" w:space="0" w:color="auto"/>
            <w:bottom w:val="none" w:sz="0" w:space="0" w:color="auto"/>
            <w:right w:val="none" w:sz="0" w:space="0" w:color="auto"/>
          </w:divBdr>
        </w:div>
        <w:div w:id="511846017">
          <w:marLeft w:val="0"/>
          <w:marRight w:val="0"/>
          <w:marTop w:val="0"/>
          <w:marBottom w:val="0"/>
          <w:divBdr>
            <w:top w:val="none" w:sz="0" w:space="0" w:color="auto"/>
            <w:left w:val="none" w:sz="0" w:space="0" w:color="auto"/>
            <w:bottom w:val="none" w:sz="0" w:space="0" w:color="auto"/>
            <w:right w:val="none" w:sz="0" w:space="0" w:color="auto"/>
          </w:divBdr>
        </w:div>
        <w:div w:id="563107520">
          <w:marLeft w:val="0"/>
          <w:marRight w:val="0"/>
          <w:marTop w:val="0"/>
          <w:marBottom w:val="0"/>
          <w:divBdr>
            <w:top w:val="none" w:sz="0" w:space="0" w:color="auto"/>
            <w:left w:val="none" w:sz="0" w:space="0" w:color="auto"/>
            <w:bottom w:val="none" w:sz="0" w:space="0" w:color="auto"/>
            <w:right w:val="none" w:sz="0" w:space="0" w:color="auto"/>
          </w:divBdr>
        </w:div>
        <w:div w:id="577595070">
          <w:marLeft w:val="0"/>
          <w:marRight w:val="0"/>
          <w:marTop w:val="0"/>
          <w:marBottom w:val="0"/>
          <w:divBdr>
            <w:top w:val="none" w:sz="0" w:space="0" w:color="auto"/>
            <w:left w:val="none" w:sz="0" w:space="0" w:color="auto"/>
            <w:bottom w:val="none" w:sz="0" w:space="0" w:color="auto"/>
            <w:right w:val="none" w:sz="0" w:space="0" w:color="auto"/>
          </w:divBdr>
        </w:div>
        <w:div w:id="905803079">
          <w:marLeft w:val="0"/>
          <w:marRight w:val="0"/>
          <w:marTop w:val="0"/>
          <w:marBottom w:val="0"/>
          <w:divBdr>
            <w:top w:val="none" w:sz="0" w:space="0" w:color="auto"/>
            <w:left w:val="none" w:sz="0" w:space="0" w:color="auto"/>
            <w:bottom w:val="none" w:sz="0" w:space="0" w:color="auto"/>
            <w:right w:val="none" w:sz="0" w:space="0" w:color="auto"/>
          </w:divBdr>
        </w:div>
        <w:div w:id="975986805">
          <w:marLeft w:val="0"/>
          <w:marRight w:val="0"/>
          <w:marTop w:val="0"/>
          <w:marBottom w:val="0"/>
          <w:divBdr>
            <w:top w:val="none" w:sz="0" w:space="0" w:color="auto"/>
            <w:left w:val="none" w:sz="0" w:space="0" w:color="auto"/>
            <w:bottom w:val="none" w:sz="0" w:space="0" w:color="auto"/>
            <w:right w:val="none" w:sz="0" w:space="0" w:color="auto"/>
          </w:divBdr>
        </w:div>
        <w:div w:id="1063017504">
          <w:marLeft w:val="0"/>
          <w:marRight w:val="0"/>
          <w:marTop w:val="0"/>
          <w:marBottom w:val="0"/>
          <w:divBdr>
            <w:top w:val="none" w:sz="0" w:space="0" w:color="auto"/>
            <w:left w:val="none" w:sz="0" w:space="0" w:color="auto"/>
            <w:bottom w:val="none" w:sz="0" w:space="0" w:color="auto"/>
            <w:right w:val="none" w:sz="0" w:space="0" w:color="auto"/>
          </w:divBdr>
        </w:div>
        <w:div w:id="1130126212">
          <w:marLeft w:val="0"/>
          <w:marRight w:val="0"/>
          <w:marTop w:val="0"/>
          <w:marBottom w:val="0"/>
          <w:divBdr>
            <w:top w:val="none" w:sz="0" w:space="0" w:color="auto"/>
            <w:left w:val="none" w:sz="0" w:space="0" w:color="auto"/>
            <w:bottom w:val="none" w:sz="0" w:space="0" w:color="auto"/>
            <w:right w:val="none" w:sz="0" w:space="0" w:color="auto"/>
          </w:divBdr>
        </w:div>
        <w:div w:id="1232229696">
          <w:marLeft w:val="0"/>
          <w:marRight w:val="0"/>
          <w:marTop w:val="0"/>
          <w:marBottom w:val="0"/>
          <w:divBdr>
            <w:top w:val="none" w:sz="0" w:space="0" w:color="auto"/>
            <w:left w:val="none" w:sz="0" w:space="0" w:color="auto"/>
            <w:bottom w:val="none" w:sz="0" w:space="0" w:color="auto"/>
            <w:right w:val="none" w:sz="0" w:space="0" w:color="auto"/>
          </w:divBdr>
        </w:div>
        <w:div w:id="1302727868">
          <w:marLeft w:val="0"/>
          <w:marRight w:val="0"/>
          <w:marTop w:val="0"/>
          <w:marBottom w:val="0"/>
          <w:divBdr>
            <w:top w:val="none" w:sz="0" w:space="0" w:color="auto"/>
            <w:left w:val="none" w:sz="0" w:space="0" w:color="auto"/>
            <w:bottom w:val="none" w:sz="0" w:space="0" w:color="auto"/>
            <w:right w:val="none" w:sz="0" w:space="0" w:color="auto"/>
          </w:divBdr>
        </w:div>
        <w:div w:id="1377242304">
          <w:marLeft w:val="0"/>
          <w:marRight w:val="0"/>
          <w:marTop w:val="0"/>
          <w:marBottom w:val="0"/>
          <w:divBdr>
            <w:top w:val="none" w:sz="0" w:space="0" w:color="auto"/>
            <w:left w:val="none" w:sz="0" w:space="0" w:color="auto"/>
            <w:bottom w:val="none" w:sz="0" w:space="0" w:color="auto"/>
            <w:right w:val="none" w:sz="0" w:space="0" w:color="auto"/>
          </w:divBdr>
        </w:div>
        <w:div w:id="1831293589">
          <w:marLeft w:val="0"/>
          <w:marRight w:val="0"/>
          <w:marTop w:val="0"/>
          <w:marBottom w:val="0"/>
          <w:divBdr>
            <w:top w:val="none" w:sz="0" w:space="0" w:color="auto"/>
            <w:left w:val="none" w:sz="0" w:space="0" w:color="auto"/>
            <w:bottom w:val="none" w:sz="0" w:space="0" w:color="auto"/>
            <w:right w:val="none" w:sz="0" w:space="0" w:color="auto"/>
          </w:divBdr>
        </w:div>
        <w:div w:id="1977489253">
          <w:marLeft w:val="0"/>
          <w:marRight w:val="0"/>
          <w:marTop w:val="0"/>
          <w:marBottom w:val="0"/>
          <w:divBdr>
            <w:top w:val="none" w:sz="0" w:space="0" w:color="auto"/>
            <w:left w:val="none" w:sz="0" w:space="0" w:color="auto"/>
            <w:bottom w:val="none" w:sz="0" w:space="0" w:color="auto"/>
            <w:right w:val="none" w:sz="0" w:space="0" w:color="auto"/>
          </w:divBdr>
        </w:div>
      </w:divsChild>
    </w:div>
    <w:div w:id="679506235">
      <w:bodyDiv w:val="1"/>
      <w:marLeft w:val="0"/>
      <w:marRight w:val="0"/>
      <w:marTop w:val="0"/>
      <w:marBottom w:val="0"/>
      <w:divBdr>
        <w:top w:val="none" w:sz="0" w:space="0" w:color="auto"/>
        <w:left w:val="none" w:sz="0" w:space="0" w:color="auto"/>
        <w:bottom w:val="none" w:sz="0" w:space="0" w:color="auto"/>
        <w:right w:val="none" w:sz="0" w:space="0" w:color="auto"/>
      </w:divBdr>
      <w:divsChild>
        <w:div w:id="122307688">
          <w:marLeft w:val="0"/>
          <w:marRight w:val="0"/>
          <w:marTop w:val="0"/>
          <w:marBottom w:val="0"/>
          <w:divBdr>
            <w:top w:val="none" w:sz="0" w:space="0" w:color="auto"/>
            <w:left w:val="none" w:sz="0" w:space="0" w:color="auto"/>
            <w:bottom w:val="none" w:sz="0" w:space="0" w:color="auto"/>
            <w:right w:val="none" w:sz="0" w:space="0" w:color="auto"/>
          </w:divBdr>
        </w:div>
        <w:div w:id="192307792">
          <w:marLeft w:val="0"/>
          <w:marRight w:val="0"/>
          <w:marTop w:val="0"/>
          <w:marBottom w:val="0"/>
          <w:divBdr>
            <w:top w:val="none" w:sz="0" w:space="0" w:color="auto"/>
            <w:left w:val="none" w:sz="0" w:space="0" w:color="auto"/>
            <w:bottom w:val="none" w:sz="0" w:space="0" w:color="auto"/>
            <w:right w:val="none" w:sz="0" w:space="0" w:color="auto"/>
          </w:divBdr>
        </w:div>
        <w:div w:id="196704543">
          <w:marLeft w:val="0"/>
          <w:marRight w:val="0"/>
          <w:marTop w:val="0"/>
          <w:marBottom w:val="0"/>
          <w:divBdr>
            <w:top w:val="none" w:sz="0" w:space="0" w:color="auto"/>
            <w:left w:val="none" w:sz="0" w:space="0" w:color="auto"/>
            <w:bottom w:val="none" w:sz="0" w:space="0" w:color="auto"/>
            <w:right w:val="none" w:sz="0" w:space="0" w:color="auto"/>
          </w:divBdr>
        </w:div>
        <w:div w:id="247692316">
          <w:marLeft w:val="0"/>
          <w:marRight w:val="0"/>
          <w:marTop w:val="0"/>
          <w:marBottom w:val="0"/>
          <w:divBdr>
            <w:top w:val="none" w:sz="0" w:space="0" w:color="auto"/>
            <w:left w:val="none" w:sz="0" w:space="0" w:color="auto"/>
            <w:bottom w:val="none" w:sz="0" w:space="0" w:color="auto"/>
            <w:right w:val="none" w:sz="0" w:space="0" w:color="auto"/>
          </w:divBdr>
        </w:div>
        <w:div w:id="501697276">
          <w:marLeft w:val="0"/>
          <w:marRight w:val="0"/>
          <w:marTop w:val="0"/>
          <w:marBottom w:val="0"/>
          <w:divBdr>
            <w:top w:val="none" w:sz="0" w:space="0" w:color="auto"/>
            <w:left w:val="none" w:sz="0" w:space="0" w:color="auto"/>
            <w:bottom w:val="none" w:sz="0" w:space="0" w:color="auto"/>
            <w:right w:val="none" w:sz="0" w:space="0" w:color="auto"/>
          </w:divBdr>
        </w:div>
        <w:div w:id="587731298">
          <w:marLeft w:val="0"/>
          <w:marRight w:val="0"/>
          <w:marTop w:val="0"/>
          <w:marBottom w:val="0"/>
          <w:divBdr>
            <w:top w:val="none" w:sz="0" w:space="0" w:color="auto"/>
            <w:left w:val="none" w:sz="0" w:space="0" w:color="auto"/>
            <w:bottom w:val="none" w:sz="0" w:space="0" w:color="auto"/>
            <w:right w:val="none" w:sz="0" w:space="0" w:color="auto"/>
          </w:divBdr>
        </w:div>
        <w:div w:id="660701096">
          <w:marLeft w:val="0"/>
          <w:marRight w:val="0"/>
          <w:marTop w:val="0"/>
          <w:marBottom w:val="0"/>
          <w:divBdr>
            <w:top w:val="none" w:sz="0" w:space="0" w:color="auto"/>
            <w:left w:val="none" w:sz="0" w:space="0" w:color="auto"/>
            <w:bottom w:val="none" w:sz="0" w:space="0" w:color="auto"/>
            <w:right w:val="none" w:sz="0" w:space="0" w:color="auto"/>
          </w:divBdr>
        </w:div>
        <w:div w:id="873545438">
          <w:marLeft w:val="0"/>
          <w:marRight w:val="0"/>
          <w:marTop w:val="0"/>
          <w:marBottom w:val="0"/>
          <w:divBdr>
            <w:top w:val="none" w:sz="0" w:space="0" w:color="auto"/>
            <w:left w:val="none" w:sz="0" w:space="0" w:color="auto"/>
            <w:bottom w:val="none" w:sz="0" w:space="0" w:color="auto"/>
            <w:right w:val="none" w:sz="0" w:space="0" w:color="auto"/>
          </w:divBdr>
        </w:div>
        <w:div w:id="1112162711">
          <w:marLeft w:val="0"/>
          <w:marRight w:val="0"/>
          <w:marTop w:val="0"/>
          <w:marBottom w:val="0"/>
          <w:divBdr>
            <w:top w:val="none" w:sz="0" w:space="0" w:color="auto"/>
            <w:left w:val="none" w:sz="0" w:space="0" w:color="auto"/>
            <w:bottom w:val="none" w:sz="0" w:space="0" w:color="auto"/>
            <w:right w:val="none" w:sz="0" w:space="0" w:color="auto"/>
          </w:divBdr>
        </w:div>
        <w:div w:id="1225290013">
          <w:marLeft w:val="0"/>
          <w:marRight w:val="0"/>
          <w:marTop w:val="0"/>
          <w:marBottom w:val="0"/>
          <w:divBdr>
            <w:top w:val="none" w:sz="0" w:space="0" w:color="auto"/>
            <w:left w:val="none" w:sz="0" w:space="0" w:color="auto"/>
            <w:bottom w:val="none" w:sz="0" w:space="0" w:color="auto"/>
            <w:right w:val="none" w:sz="0" w:space="0" w:color="auto"/>
          </w:divBdr>
        </w:div>
        <w:div w:id="1317143763">
          <w:marLeft w:val="0"/>
          <w:marRight w:val="0"/>
          <w:marTop w:val="0"/>
          <w:marBottom w:val="0"/>
          <w:divBdr>
            <w:top w:val="none" w:sz="0" w:space="0" w:color="auto"/>
            <w:left w:val="none" w:sz="0" w:space="0" w:color="auto"/>
            <w:bottom w:val="none" w:sz="0" w:space="0" w:color="auto"/>
            <w:right w:val="none" w:sz="0" w:space="0" w:color="auto"/>
          </w:divBdr>
        </w:div>
        <w:div w:id="1357657603">
          <w:marLeft w:val="0"/>
          <w:marRight w:val="0"/>
          <w:marTop w:val="0"/>
          <w:marBottom w:val="0"/>
          <w:divBdr>
            <w:top w:val="none" w:sz="0" w:space="0" w:color="auto"/>
            <w:left w:val="none" w:sz="0" w:space="0" w:color="auto"/>
            <w:bottom w:val="none" w:sz="0" w:space="0" w:color="auto"/>
            <w:right w:val="none" w:sz="0" w:space="0" w:color="auto"/>
          </w:divBdr>
        </w:div>
        <w:div w:id="1690135931">
          <w:marLeft w:val="0"/>
          <w:marRight w:val="0"/>
          <w:marTop w:val="0"/>
          <w:marBottom w:val="0"/>
          <w:divBdr>
            <w:top w:val="none" w:sz="0" w:space="0" w:color="auto"/>
            <w:left w:val="none" w:sz="0" w:space="0" w:color="auto"/>
            <w:bottom w:val="none" w:sz="0" w:space="0" w:color="auto"/>
            <w:right w:val="none" w:sz="0" w:space="0" w:color="auto"/>
          </w:divBdr>
        </w:div>
        <w:div w:id="1765493434">
          <w:marLeft w:val="0"/>
          <w:marRight w:val="0"/>
          <w:marTop w:val="0"/>
          <w:marBottom w:val="0"/>
          <w:divBdr>
            <w:top w:val="none" w:sz="0" w:space="0" w:color="auto"/>
            <w:left w:val="none" w:sz="0" w:space="0" w:color="auto"/>
            <w:bottom w:val="none" w:sz="0" w:space="0" w:color="auto"/>
            <w:right w:val="none" w:sz="0" w:space="0" w:color="auto"/>
          </w:divBdr>
        </w:div>
        <w:div w:id="1871600750">
          <w:marLeft w:val="0"/>
          <w:marRight w:val="0"/>
          <w:marTop w:val="0"/>
          <w:marBottom w:val="0"/>
          <w:divBdr>
            <w:top w:val="none" w:sz="0" w:space="0" w:color="auto"/>
            <w:left w:val="none" w:sz="0" w:space="0" w:color="auto"/>
            <w:bottom w:val="none" w:sz="0" w:space="0" w:color="auto"/>
            <w:right w:val="none" w:sz="0" w:space="0" w:color="auto"/>
          </w:divBdr>
        </w:div>
        <w:div w:id="1971788160">
          <w:marLeft w:val="0"/>
          <w:marRight w:val="0"/>
          <w:marTop w:val="0"/>
          <w:marBottom w:val="0"/>
          <w:divBdr>
            <w:top w:val="none" w:sz="0" w:space="0" w:color="auto"/>
            <w:left w:val="none" w:sz="0" w:space="0" w:color="auto"/>
            <w:bottom w:val="none" w:sz="0" w:space="0" w:color="auto"/>
            <w:right w:val="none" w:sz="0" w:space="0" w:color="auto"/>
          </w:divBdr>
        </w:div>
        <w:div w:id="1972592937">
          <w:marLeft w:val="0"/>
          <w:marRight w:val="0"/>
          <w:marTop w:val="0"/>
          <w:marBottom w:val="0"/>
          <w:divBdr>
            <w:top w:val="none" w:sz="0" w:space="0" w:color="auto"/>
            <w:left w:val="none" w:sz="0" w:space="0" w:color="auto"/>
            <w:bottom w:val="none" w:sz="0" w:space="0" w:color="auto"/>
            <w:right w:val="none" w:sz="0" w:space="0" w:color="auto"/>
          </w:divBdr>
        </w:div>
        <w:div w:id="1978995317">
          <w:marLeft w:val="0"/>
          <w:marRight w:val="0"/>
          <w:marTop w:val="0"/>
          <w:marBottom w:val="0"/>
          <w:divBdr>
            <w:top w:val="none" w:sz="0" w:space="0" w:color="auto"/>
            <w:left w:val="none" w:sz="0" w:space="0" w:color="auto"/>
            <w:bottom w:val="none" w:sz="0" w:space="0" w:color="auto"/>
            <w:right w:val="none" w:sz="0" w:space="0" w:color="auto"/>
          </w:divBdr>
        </w:div>
        <w:div w:id="2055544130">
          <w:marLeft w:val="0"/>
          <w:marRight w:val="0"/>
          <w:marTop w:val="0"/>
          <w:marBottom w:val="0"/>
          <w:divBdr>
            <w:top w:val="none" w:sz="0" w:space="0" w:color="auto"/>
            <w:left w:val="none" w:sz="0" w:space="0" w:color="auto"/>
            <w:bottom w:val="none" w:sz="0" w:space="0" w:color="auto"/>
            <w:right w:val="none" w:sz="0" w:space="0" w:color="auto"/>
          </w:divBdr>
        </w:div>
      </w:divsChild>
    </w:div>
    <w:div w:id="819539299">
      <w:bodyDiv w:val="1"/>
      <w:marLeft w:val="0"/>
      <w:marRight w:val="0"/>
      <w:marTop w:val="0"/>
      <w:marBottom w:val="0"/>
      <w:divBdr>
        <w:top w:val="none" w:sz="0" w:space="0" w:color="auto"/>
        <w:left w:val="none" w:sz="0" w:space="0" w:color="auto"/>
        <w:bottom w:val="none" w:sz="0" w:space="0" w:color="auto"/>
        <w:right w:val="none" w:sz="0" w:space="0" w:color="auto"/>
      </w:divBdr>
      <w:divsChild>
        <w:div w:id="867184542">
          <w:marLeft w:val="0"/>
          <w:marRight w:val="0"/>
          <w:marTop w:val="0"/>
          <w:marBottom w:val="0"/>
          <w:divBdr>
            <w:top w:val="none" w:sz="0" w:space="0" w:color="auto"/>
            <w:left w:val="none" w:sz="0" w:space="0" w:color="auto"/>
            <w:bottom w:val="none" w:sz="0" w:space="0" w:color="auto"/>
            <w:right w:val="none" w:sz="0" w:space="0" w:color="auto"/>
          </w:divBdr>
        </w:div>
        <w:div w:id="1393115714">
          <w:marLeft w:val="0"/>
          <w:marRight w:val="0"/>
          <w:marTop w:val="0"/>
          <w:marBottom w:val="0"/>
          <w:divBdr>
            <w:top w:val="none" w:sz="0" w:space="0" w:color="auto"/>
            <w:left w:val="none" w:sz="0" w:space="0" w:color="auto"/>
            <w:bottom w:val="none" w:sz="0" w:space="0" w:color="auto"/>
            <w:right w:val="none" w:sz="0" w:space="0" w:color="auto"/>
          </w:divBdr>
        </w:div>
        <w:div w:id="2130126819">
          <w:marLeft w:val="0"/>
          <w:marRight w:val="0"/>
          <w:marTop w:val="0"/>
          <w:marBottom w:val="0"/>
          <w:divBdr>
            <w:top w:val="none" w:sz="0" w:space="0" w:color="auto"/>
            <w:left w:val="none" w:sz="0" w:space="0" w:color="auto"/>
            <w:bottom w:val="none" w:sz="0" w:space="0" w:color="auto"/>
            <w:right w:val="none" w:sz="0" w:space="0" w:color="auto"/>
          </w:divBdr>
        </w:div>
      </w:divsChild>
    </w:div>
    <w:div w:id="878737265">
      <w:bodyDiv w:val="1"/>
      <w:marLeft w:val="0"/>
      <w:marRight w:val="0"/>
      <w:marTop w:val="0"/>
      <w:marBottom w:val="0"/>
      <w:divBdr>
        <w:top w:val="none" w:sz="0" w:space="0" w:color="auto"/>
        <w:left w:val="none" w:sz="0" w:space="0" w:color="auto"/>
        <w:bottom w:val="none" w:sz="0" w:space="0" w:color="auto"/>
        <w:right w:val="none" w:sz="0" w:space="0" w:color="auto"/>
      </w:divBdr>
      <w:divsChild>
        <w:div w:id="26759343">
          <w:marLeft w:val="0"/>
          <w:marRight w:val="0"/>
          <w:marTop w:val="0"/>
          <w:marBottom w:val="0"/>
          <w:divBdr>
            <w:top w:val="none" w:sz="0" w:space="0" w:color="auto"/>
            <w:left w:val="none" w:sz="0" w:space="0" w:color="auto"/>
            <w:bottom w:val="none" w:sz="0" w:space="0" w:color="auto"/>
            <w:right w:val="none" w:sz="0" w:space="0" w:color="auto"/>
          </w:divBdr>
        </w:div>
        <w:div w:id="62026358">
          <w:marLeft w:val="0"/>
          <w:marRight w:val="0"/>
          <w:marTop w:val="0"/>
          <w:marBottom w:val="0"/>
          <w:divBdr>
            <w:top w:val="none" w:sz="0" w:space="0" w:color="auto"/>
            <w:left w:val="none" w:sz="0" w:space="0" w:color="auto"/>
            <w:bottom w:val="none" w:sz="0" w:space="0" w:color="auto"/>
            <w:right w:val="none" w:sz="0" w:space="0" w:color="auto"/>
          </w:divBdr>
        </w:div>
        <w:div w:id="179517646">
          <w:marLeft w:val="0"/>
          <w:marRight w:val="0"/>
          <w:marTop w:val="0"/>
          <w:marBottom w:val="0"/>
          <w:divBdr>
            <w:top w:val="none" w:sz="0" w:space="0" w:color="auto"/>
            <w:left w:val="none" w:sz="0" w:space="0" w:color="auto"/>
            <w:bottom w:val="none" w:sz="0" w:space="0" w:color="auto"/>
            <w:right w:val="none" w:sz="0" w:space="0" w:color="auto"/>
          </w:divBdr>
        </w:div>
        <w:div w:id="190655845">
          <w:marLeft w:val="0"/>
          <w:marRight w:val="0"/>
          <w:marTop w:val="0"/>
          <w:marBottom w:val="0"/>
          <w:divBdr>
            <w:top w:val="none" w:sz="0" w:space="0" w:color="auto"/>
            <w:left w:val="none" w:sz="0" w:space="0" w:color="auto"/>
            <w:bottom w:val="none" w:sz="0" w:space="0" w:color="auto"/>
            <w:right w:val="none" w:sz="0" w:space="0" w:color="auto"/>
          </w:divBdr>
        </w:div>
        <w:div w:id="247227130">
          <w:marLeft w:val="0"/>
          <w:marRight w:val="0"/>
          <w:marTop w:val="0"/>
          <w:marBottom w:val="0"/>
          <w:divBdr>
            <w:top w:val="none" w:sz="0" w:space="0" w:color="auto"/>
            <w:left w:val="none" w:sz="0" w:space="0" w:color="auto"/>
            <w:bottom w:val="none" w:sz="0" w:space="0" w:color="auto"/>
            <w:right w:val="none" w:sz="0" w:space="0" w:color="auto"/>
          </w:divBdr>
        </w:div>
        <w:div w:id="350498885">
          <w:marLeft w:val="0"/>
          <w:marRight w:val="0"/>
          <w:marTop w:val="0"/>
          <w:marBottom w:val="0"/>
          <w:divBdr>
            <w:top w:val="none" w:sz="0" w:space="0" w:color="auto"/>
            <w:left w:val="none" w:sz="0" w:space="0" w:color="auto"/>
            <w:bottom w:val="none" w:sz="0" w:space="0" w:color="auto"/>
            <w:right w:val="none" w:sz="0" w:space="0" w:color="auto"/>
          </w:divBdr>
        </w:div>
        <w:div w:id="631520454">
          <w:marLeft w:val="0"/>
          <w:marRight w:val="0"/>
          <w:marTop w:val="0"/>
          <w:marBottom w:val="0"/>
          <w:divBdr>
            <w:top w:val="none" w:sz="0" w:space="0" w:color="auto"/>
            <w:left w:val="none" w:sz="0" w:space="0" w:color="auto"/>
            <w:bottom w:val="none" w:sz="0" w:space="0" w:color="auto"/>
            <w:right w:val="none" w:sz="0" w:space="0" w:color="auto"/>
          </w:divBdr>
        </w:div>
        <w:div w:id="668871871">
          <w:marLeft w:val="0"/>
          <w:marRight w:val="0"/>
          <w:marTop w:val="0"/>
          <w:marBottom w:val="0"/>
          <w:divBdr>
            <w:top w:val="none" w:sz="0" w:space="0" w:color="auto"/>
            <w:left w:val="none" w:sz="0" w:space="0" w:color="auto"/>
            <w:bottom w:val="none" w:sz="0" w:space="0" w:color="auto"/>
            <w:right w:val="none" w:sz="0" w:space="0" w:color="auto"/>
          </w:divBdr>
        </w:div>
        <w:div w:id="743180987">
          <w:marLeft w:val="0"/>
          <w:marRight w:val="0"/>
          <w:marTop w:val="0"/>
          <w:marBottom w:val="0"/>
          <w:divBdr>
            <w:top w:val="none" w:sz="0" w:space="0" w:color="auto"/>
            <w:left w:val="none" w:sz="0" w:space="0" w:color="auto"/>
            <w:bottom w:val="none" w:sz="0" w:space="0" w:color="auto"/>
            <w:right w:val="none" w:sz="0" w:space="0" w:color="auto"/>
          </w:divBdr>
        </w:div>
        <w:div w:id="1010332563">
          <w:marLeft w:val="0"/>
          <w:marRight w:val="0"/>
          <w:marTop w:val="0"/>
          <w:marBottom w:val="0"/>
          <w:divBdr>
            <w:top w:val="none" w:sz="0" w:space="0" w:color="auto"/>
            <w:left w:val="none" w:sz="0" w:space="0" w:color="auto"/>
            <w:bottom w:val="none" w:sz="0" w:space="0" w:color="auto"/>
            <w:right w:val="none" w:sz="0" w:space="0" w:color="auto"/>
          </w:divBdr>
        </w:div>
        <w:div w:id="1103453687">
          <w:marLeft w:val="0"/>
          <w:marRight w:val="0"/>
          <w:marTop w:val="0"/>
          <w:marBottom w:val="0"/>
          <w:divBdr>
            <w:top w:val="none" w:sz="0" w:space="0" w:color="auto"/>
            <w:left w:val="none" w:sz="0" w:space="0" w:color="auto"/>
            <w:bottom w:val="none" w:sz="0" w:space="0" w:color="auto"/>
            <w:right w:val="none" w:sz="0" w:space="0" w:color="auto"/>
          </w:divBdr>
        </w:div>
        <w:div w:id="1194853267">
          <w:marLeft w:val="0"/>
          <w:marRight w:val="0"/>
          <w:marTop w:val="0"/>
          <w:marBottom w:val="0"/>
          <w:divBdr>
            <w:top w:val="none" w:sz="0" w:space="0" w:color="auto"/>
            <w:left w:val="none" w:sz="0" w:space="0" w:color="auto"/>
            <w:bottom w:val="none" w:sz="0" w:space="0" w:color="auto"/>
            <w:right w:val="none" w:sz="0" w:space="0" w:color="auto"/>
          </w:divBdr>
        </w:div>
        <w:div w:id="1547376162">
          <w:marLeft w:val="0"/>
          <w:marRight w:val="0"/>
          <w:marTop w:val="0"/>
          <w:marBottom w:val="0"/>
          <w:divBdr>
            <w:top w:val="none" w:sz="0" w:space="0" w:color="auto"/>
            <w:left w:val="none" w:sz="0" w:space="0" w:color="auto"/>
            <w:bottom w:val="none" w:sz="0" w:space="0" w:color="auto"/>
            <w:right w:val="none" w:sz="0" w:space="0" w:color="auto"/>
          </w:divBdr>
        </w:div>
        <w:div w:id="1633829279">
          <w:marLeft w:val="0"/>
          <w:marRight w:val="0"/>
          <w:marTop w:val="0"/>
          <w:marBottom w:val="0"/>
          <w:divBdr>
            <w:top w:val="none" w:sz="0" w:space="0" w:color="auto"/>
            <w:left w:val="none" w:sz="0" w:space="0" w:color="auto"/>
            <w:bottom w:val="none" w:sz="0" w:space="0" w:color="auto"/>
            <w:right w:val="none" w:sz="0" w:space="0" w:color="auto"/>
          </w:divBdr>
        </w:div>
        <w:div w:id="1725832046">
          <w:marLeft w:val="0"/>
          <w:marRight w:val="0"/>
          <w:marTop w:val="0"/>
          <w:marBottom w:val="0"/>
          <w:divBdr>
            <w:top w:val="none" w:sz="0" w:space="0" w:color="auto"/>
            <w:left w:val="none" w:sz="0" w:space="0" w:color="auto"/>
            <w:bottom w:val="none" w:sz="0" w:space="0" w:color="auto"/>
            <w:right w:val="none" w:sz="0" w:space="0" w:color="auto"/>
          </w:divBdr>
        </w:div>
        <w:div w:id="1764107165">
          <w:marLeft w:val="0"/>
          <w:marRight w:val="0"/>
          <w:marTop w:val="0"/>
          <w:marBottom w:val="0"/>
          <w:divBdr>
            <w:top w:val="none" w:sz="0" w:space="0" w:color="auto"/>
            <w:left w:val="none" w:sz="0" w:space="0" w:color="auto"/>
            <w:bottom w:val="none" w:sz="0" w:space="0" w:color="auto"/>
            <w:right w:val="none" w:sz="0" w:space="0" w:color="auto"/>
          </w:divBdr>
        </w:div>
        <w:div w:id="1916547836">
          <w:marLeft w:val="0"/>
          <w:marRight w:val="0"/>
          <w:marTop w:val="0"/>
          <w:marBottom w:val="0"/>
          <w:divBdr>
            <w:top w:val="none" w:sz="0" w:space="0" w:color="auto"/>
            <w:left w:val="none" w:sz="0" w:space="0" w:color="auto"/>
            <w:bottom w:val="none" w:sz="0" w:space="0" w:color="auto"/>
            <w:right w:val="none" w:sz="0" w:space="0" w:color="auto"/>
          </w:divBdr>
        </w:div>
        <w:div w:id="2098357952">
          <w:marLeft w:val="0"/>
          <w:marRight w:val="0"/>
          <w:marTop w:val="0"/>
          <w:marBottom w:val="0"/>
          <w:divBdr>
            <w:top w:val="none" w:sz="0" w:space="0" w:color="auto"/>
            <w:left w:val="none" w:sz="0" w:space="0" w:color="auto"/>
            <w:bottom w:val="none" w:sz="0" w:space="0" w:color="auto"/>
            <w:right w:val="none" w:sz="0" w:space="0" w:color="auto"/>
          </w:divBdr>
        </w:div>
        <w:div w:id="2111853701">
          <w:marLeft w:val="0"/>
          <w:marRight w:val="0"/>
          <w:marTop w:val="0"/>
          <w:marBottom w:val="0"/>
          <w:divBdr>
            <w:top w:val="none" w:sz="0" w:space="0" w:color="auto"/>
            <w:left w:val="none" w:sz="0" w:space="0" w:color="auto"/>
            <w:bottom w:val="none" w:sz="0" w:space="0" w:color="auto"/>
            <w:right w:val="none" w:sz="0" w:space="0" w:color="auto"/>
          </w:divBdr>
        </w:div>
      </w:divsChild>
    </w:div>
    <w:div w:id="884949178">
      <w:bodyDiv w:val="1"/>
      <w:marLeft w:val="0"/>
      <w:marRight w:val="0"/>
      <w:marTop w:val="0"/>
      <w:marBottom w:val="0"/>
      <w:divBdr>
        <w:top w:val="none" w:sz="0" w:space="0" w:color="auto"/>
        <w:left w:val="none" w:sz="0" w:space="0" w:color="auto"/>
        <w:bottom w:val="none" w:sz="0" w:space="0" w:color="auto"/>
        <w:right w:val="none" w:sz="0" w:space="0" w:color="auto"/>
      </w:divBdr>
      <w:divsChild>
        <w:div w:id="412505829">
          <w:marLeft w:val="0"/>
          <w:marRight w:val="0"/>
          <w:marTop w:val="0"/>
          <w:marBottom w:val="0"/>
          <w:divBdr>
            <w:top w:val="none" w:sz="0" w:space="0" w:color="auto"/>
            <w:left w:val="none" w:sz="0" w:space="0" w:color="auto"/>
            <w:bottom w:val="none" w:sz="0" w:space="0" w:color="auto"/>
            <w:right w:val="none" w:sz="0" w:space="0" w:color="auto"/>
          </w:divBdr>
        </w:div>
        <w:div w:id="468789467">
          <w:marLeft w:val="0"/>
          <w:marRight w:val="0"/>
          <w:marTop w:val="0"/>
          <w:marBottom w:val="0"/>
          <w:divBdr>
            <w:top w:val="none" w:sz="0" w:space="0" w:color="auto"/>
            <w:left w:val="none" w:sz="0" w:space="0" w:color="auto"/>
            <w:bottom w:val="none" w:sz="0" w:space="0" w:color="auto"/>
            <w:right w:val="none" w:sz="0" w:space="0" w:color="auto"/>
          </w:divBdr>
        </w:div>
        <w:div w:id="556478198">
          <w:marLeft w:val="0"/>
          <w:marRight w:val="0"/>
          <w:marTop w:val="0"/>
          <w:marBottom w:val="0"/>
          <w:divBdr>
            <w:top w:val="none" w:sz="0" w:space="0" w:color="auto"/>
            <w:left w:val="none" w:sz="0" w:space="0" w:color="auto"/>
            <w:bottom w:val="none" w:sz="0" w:space="0" w:color="auto"/>
            <w:right w:val="none" w:sz="0" w:space="0" w:color="auto"/>
          </w:divBdr>
        </w:div>
        <w:div w:id="678578444">
          <w:marLeft w:val="0"/>
          <w:marRight w:val="0"/>
          <w:marTop w:val="0"/>
          <w:marBottom w:val="0"/>
          <w:divBdr>
            <w:top w:val="none" w:sz="0" w:space="0" w:color="auto"/>
            <w:left w:val="none" w:sz="0" w:space="0" w:color="auto"/>
            <w:bottom w:val="none" w:sz="0" w:space="0" w:color="auto"/>
            <w:right w:val="none" w:sz="0" w:space="0" w:color="auto"/>
          </w:divBdr>
        </w:div>
        <w:div w:id="969282611">
          <w:marLeft w:val="0"/>
          <w:marRight w:val="0"/>
          <w:marTop w:val="0"/>
          <w:marBottom w:val="0"/>
          <w:divBdr>
            <w:top w:val="none" w:sz="0" w:space="0" w:color="auto"/>
            <w:left w:val="none" w:sz="0" w:space="0" w:color="auto"/>
            <w:bottom w:val="none" w:sz="0" w:space="0" w:color="auto"/>
            <w:right w:val="none" w:sz="0" w:space="0" w:color="auto"/>
          </w:divBdr>
        </w:div>
        <w:div w:id="1073703674">
          <w:marLeft w:val="0"/>
          <w:marRight w:val="0"/>
          <w:marTop w:val="0"/>
          <w:marBottom w:val="0"/>
          <w:divBdr>
            <w:top w:val="none" w:sz="0" w:space="0" w:color="auto"/>
            <w:left w:val="none" w:sz="0" w:space="0" w:color="auto"/>
            <w:bottom w:val="none" w:sz="0" w:space="0" w:color="auto"/>
            <w:right w:val="none" w:sz="0" w:space="0" w:color="auto"/>
          </w:divBdr>
        </w:div>
        <w:div w:id="1529027830">
          <w:marLeft w:val="0"/>
          <w:marRight w:val="0"/>
          <w:marTop w:val="0"/>
          <w:marBottom w:val="0"/>
          <w:divBdr>
            <w:top w:val="none" w:sz="0" w:space="0" w:color="auto"/>
            <w:left w:val="none" w:sz="0" w:space="0" w:color="auto"/>
            <w:bottom w:val="none" w:sz="0" w:space="0" w:color="auto"/>
            <w:right w:val="none" w:sz="0" w:space="0" w:color="auto"/>
          </w:divBdr>
        </w:div>
        <w:div w:id="1651867434">
          <w:marLeft w:val="0"/>
          <w:marRight w:val="0"/>
          <w:marTop w:val="0"/>
          <w:marBottom w:val="0"/>
          <w:divBdr>
            <w:top w:val="none" w:sz="0" w:space="0" w:color="auto"/>
            <w:left w:val="none" w:sz="0" w:space="0" w:color="auto"/>
            <w:bottom w:val="none" w:sz="0" w:space="0" w:color="auto"/>
            <w:right w:val="none" w:sz="0" w:space="0" w:color="auto"/>
          </w:divBdr>
        </w:div>
        <w:div w:id="1783301045">
          <w:marLeft w:val="0"/>
          <w:marRight w:val="0"/>
          <w:marTop w:val="0"/>
          <w:marBottom w:val="0"/>
          <w:divBdr>
            <w:top w:val="none" w:sz="0" w:space="0" w:color="auto"/>
            <w:left w:val="none" w:sz="0" w:space="0" w:color="auto"/>
            <w:bottom w:val="none" w:sz="0" w:space="0" w:color="auto"/>
            <w:right w:val="none" w:sz="0" w:space="0" w:color="auto"/>
          </w:divBdr>
        </w:div>
      </w:divsChild>
    </w:div>
    <w:div w:id="889457974">
      <w:bodyDiv w:val="1"/>
      <w:marLeft w:val="0"/>
      <w:marRight w:val="0"/>
      <w:marTop w:val="0"/>
      <w:marBottom w:val="0"/>
      <w:divBdr>
        <w:top w:val="none" w:sz="0" w:space="0" w:color="auto"/>
        <w:left w:val="none" w:sz="0" w:space="0" w:color="auto"/>
        <w:bottom w:val="none" w:sz="0" w:space="0" w:color="auto"/>
        <w:right w:val="none" w:sz="0" w:space="0" w:color="auto"/>
      </w:divBdr>
    </w:div>
    <w:div w:id="905452092">
      <w:bodyDiv w:val="1"/>
      <w:marLeft w:val="0"/>
      <w:marRight w:val="0"/>
      <w:marTop w:val="0"/>
      <w:marBottom w:val="0"/>
      <w:divBdr>
        <w:top w:val="none" w:sz="0" w:space="0" w:color="auto"/>
        <w:left w:val="none" w:sz="0" w:space="0" w:color="auto"/>
        <w:bottom w:val="none" w:sz="0" w:space="0" w:color="auto"/>
        <w:right w:val="none" w:sz="0" w:space="0" w:color="auto"/>
      </w:divBdr>
      <w:divsChild>
        <w:div w:id="123427922">
          <w:marLeft w:val="0"/>
          <w:marRight w:val="0"/>
          <w:marTop w:val="0"/>
          <w:marBottom w:val="0"/>
          <w:divBdr>
            <w:top w:val="none" w:sz="0" w:space="0" w:color="auto"/>
            <w:left w:val="none" w:sz="0" w:space="0" w:color="auto"/>
            <w:bottom w:val="none" w:sz="0" w:space="0" w:color="auto"/>
            <w:right w:val="none" w:sz="0" w:space="0" w:color="auto"/>
          </w:divBdr>
        </w:div>
        <w:div w:id="224532844">
          <w:marLeft w:val="0"/>
          <w:marRight w:val="0"/>
          <w:marTop w:val="0"/>
          <w:marBottom w:val="0"/>
          <w:divBdr>
            <w:top w:val="none" w:sz="0" w:space="0" w:color="auto"/>
            <w:left w:val="none" w:sz="0" w:space="0" w:color="auto"/>
            <w:bottom w:val="none" w:sz="0" w:space="0" w:color="auto"/>
            <w:right w:val="none" w:sz="0" w:space="0" w:color="auto"/>
          </w:divBdr>
        </w:div>
        <w:div w:id="350423205">
          <w:marLeft w:val="0"/>
          <w:marRight w:val="0"/>
          <w:marTop w:val="0"/>
          <w:marBottom w:val="0"/>
          <w:divBdr>
            <w:top w:val="none" w:sz="0" w:space="0" w:color="auto"/>
            <w:left w:val="none" w:sz="0" w:space="0" w:color="auto"/>
            <w:bottom w:val="none" w:sz="0" w:space="0" w:color="auto"/>
            <w:right w:val="none" w:sz="0" w:space="0" w:color="auto"/>
          </w:divBdr>
        </w:div>
        <w:div w:id="545946800">
          <w:marLeft w:val="0"/>
          <w:marRight w:val="0"/>
          <w:marTop w:val="0"/>
          <w:marBottom w:val="0"/>
          <w:divBdr>
            <w:top w:val="none" w:sz="0" w:space="0" w:color="auto"/>
            <w:left w:val="none" w:sz="0" w:space="0" w:color="auto"/>
            <w:bottom w:val="none" w:sz="0" w:space="0" w:color="auto"/>
            <w:right w:val="none" w:sz="0" w:space="0" w:color="auto"/>
          </w:divBdr>
        </w:div>
        <w:div w:id="709767115">
          <w:marLeft w:val="0"/>
          <w:marRight w:val="0"/>
          <w:marTop w:val="0"/>
          <w:marBottom w:val="0"/>
          <w:divBdr>
            <w:top w:val="none" w:sz="0" w:space="0" w:color="auto"/>
            <w:left w:val="none" w:sz="0" w:space="0" w:color="auto"/>
            <w:bottom w:val="none" w:sz="0" w:space="0" w:color="auto"/>
            <w:right w:val="none" w:sz="0" w:space="0" w:color="auto"/>
          </w:divBdr>
        </w:div>
        <w:div w:id="875626562">
          <w:marLeft w:val="0"/>
          <w:marRight w:val="0"/>
          <w:marTop w:val="0"/>
          <w:marBottom w:val="0"/>
          <w:divBdr>
            <w:top w:val="none" w:sz="0" w:space="0" w:color="auto"/>
            <w:left w:val="none" w:sz="0" w:space="0" w:color="auto"/>
            <w:bottom w:val="none" w:sz="0" w:space="0" w:color="auto"/>
            <w:right w:val="none" w:sz="0" w:space="0" w:color="auto"/>
          </w:divBdr>
        </w:div>
        <w:div w:id="927615745">
          <w:marLeft w:val="0"/>
          <w:marRight w:val="0"/>
          <w:marTop w:val="0"/>
          <w:marBottom w:val="0"/>
          <w:divBdr>
            <w:top w:val="none" w:sz="0" w:space="0" w:color="auto"/>
            <w:left w:val="none" w:sz="0" w:space="0" w:color="auto"/>
            <w:bottom w:val="none" w:sz="0" w:space="0" w:color="auto"/>
            <w:right w:val="none" w:sz="0" w:space="0" w:color="auto"/>
          </w:divBdr>
        </w:div>
        <w:div w:id="1086343098">
          <w:marLeft w:val="0"/>
          <w:marRight w:val="0"/>
          <w:marTop w:val="0"/>
          <w:marBottom w:val="0"/>
          <w:divBdr>
            <w:top w:val="none" w:sz="0" w:space="0" w:color="auto"/>
            <w:left w:val="none" w:sz="0" w:space="0" w:color="auto"/>
            <w:bottom w:val="none" w:sz="0" w:space="0" w:color="auto"/>
            <w:right w:val="none" w:sz="0" w:space="0" w:color="auto"/>
          </w:divBdr>
        </w:div>
        <w:div w:id="1306348620">
          <w:marLeft w:val="0"/>
          <w:marRight w:val="0"/>
          <w:marTop w:val="0"/>
          <w:marBottom w:val="0"/>
          <w:divBdr>
            <w:top w:val="none" w:sz="0" w:space="0" w:color="auto"/>
            <w:left w:val="none" w:sz="0" w:space="0" w:color="auto"/>
            <w:bottom w:val="none" w:sz="0" w:space="0" w:color="auto"/>
            <w:right w:val="none" w:sz="0" w:space="0" w:color="auto"/>
          </w:divBdr>
        </w:div>
        <w:div w:id="1568608378">
          <w:marLeft w:val="0"/>
          <w:marRight w:val="0"/>
          <w:marTop w:val="0"/>
          <w:marBottom w:val="0"/>
          <w:divBdr>
            <w:top w:val="none" w:sz="0" w:space="0" w:color="auto"/>
            <w:left w:val="none" w:sz="0" w:space="0" w:color="auto"/>
            <w:bottom w:val="none" w:sz="0" w:space="0" w:color="auto"/>
            <w:right w:val="none" w:sz="0" w:space="0" w:color="auto"/>
          </w:divBdr>
        </w:div>
        <w:div w:id="2076976962">
          <w:marLeft w:val="0"/>
          <w:marRight w:val="0"/>
          <w:marTop w:val="0"/>
          <w:marBottom w:val="0"/>
          <w:divBdr>
            <w:top w:val="none" w:sz="0" w:space="0" w:color="auto"/>
            <w:left w:val="none" w:sz="0" w:space="0" w:color="auto"/>
            <w:bottom w:val="none" w:sz="0" w:space="0" w:color="auto"/>
            <w:right w:val="none" w:sz="0" w:space="0" w:color="auto"/>
          </w:divBdr>
        </w:div>
      </w:divsChild>
    </w:div>
    <w:div w:id="948658279">
      <w:bodyDiv w:val="1"/>
      <w:marLeft w:val="0"/>
      <w:marRight w:val="0"/>
      <w:marTop w:val="0"/>
      <w:marBottom w:val="0"/>
      <w:divBdr>
        <w:top w:val="none" w:sz="0" w:space="0" w:color="auto"/>
        <w:left w:val="none" w:sz="0" w:space="0" w:color="auto"/>
        <w:bottom w:val="none" w:sz="0" w:space="0" w:color="auto"/>
        <w:right w:val="none" w:sz="0" w:space="0" w:color="auto"/>
      </w:divBdr>
    </w:div>
    <w:div w:id="964770727">
      <w:bodyDiv w:val="1"/>
      <w:marLeft w:val="0"/>
      <w:marRight w:val="0"/>
      <w:marTop w:val="0"/>
      <w:marBottom w:val="0"/>
      <w:divBdr>
        <w:top w:val="none" w:sz="0" w:space="0" w:color="auto"/>
        <w:left w:val="none" w:sz="0" w:space="0" w:color="auto"/>
        <w:bottom w:val="none" w:sz="0" w:space="0" w:color="auto"/>
        <w:right w:val="none" w:sz="0" w:space="0" w:color="auto"/>
      </w:divBdr>
    </w:div>
    <w:div w:id="995112071">
      <w:bodyDiv w:val="1"/>
      <w:marLeft w:val="0"/>
      <w:marRight w:val="0"/>
      <w:marTop w:val="0"/>
      <w:marBottom w:val="0"/>
      <w:divBdr>
        <w:top w:val="none" w:sz="0" w:space="0" w:color="auto"/>
        <w:left w:val="none" w:sz="0" w:space="0" w:color="auto"/>
        <w:bottom w:val="none" w:sz="0" w:space="0" w:color="auto"/>
        <w:right w:val="none" w:sz="0" w:space="0" w:color="auto"/>
      </w:divBdr>
    </w:div>
    <w:div w:id="1041591124">
      <w:bodyDiv w:val="1"/>
      <w:marLeft w:val="0"/>
      <w:marRight w:val="0"/>
      <w:marTop w:val="0"/>
      <w:marBottom w:val="0"/>
      <w:divBdr>
        <w:top w:val="none" w:sz="0" w:space="0" w:color="auto"/>
        <w:left w:val="none" w:sz="0" w:space="0" w:color="auto"/>
        <w:bottom w:val="none" w:sz="0" w:space="0" w:color="auto"/>
        <w:right w:val="none" w:sz="0" w:space="0" w:color="auto"/>
      </w:divBdr>
      <w:divsChild>
        <w:div w:id="27487671">
          <w:marLeft w:val="0"/>
          <w:marRight w:val="0"/>
          <w:marTop w:val="0"/>
          <w:marBottom w:val="0"/>
          <w:divBdr>
            <w:top w:val="none" w:sz="0" w:space="0" w:color="auto"/>
            <w:left w:val="none" w:sz="0" w:space="0" w:color="auto"/>
            <w:bottom w:val="none" w:sz="0" w:space="0" w:color="auto"/>
            <w:right w:val="none" w:sz="0" w:space="0" w:color="auto"/>
          </w:divBdr>
        </w:div>
        <w:div w:id="112601635">
          <w:marLeft w:val="0"/>
          <w:marRight w:val="0"/>
          <w:marTop w:val="0"/>
          <w:marBottom w:val="0"/>
          <w:divBdr>
            <w:top w:val="none" w:sz="0" w:space="0" w:color="auto"/>
            <w:left w:val="none" w:sz="0" w:space="0" w:color="auto"/>
            <w:bottom w:val="none" w:sz="0" w:space="0" w:color="auto"/>
            <w:right w:val="none" w:sz="0" w:space="0" w:color="auto"/>
          </w:divBdr>
        </w:div>
        <w:div w:id="154145877">
          <w:marLeft w:val="0"/>
          <w:marRight w:val="0"/>
          <w:marTop w:val="0"/>
          <w:marBottom w:val="0"/>
          <w:divBdr>
            <w:top w:val="none" w:sz="0" w:space="0" w:color="auto"/>
            <w:left w:val="none" w:sz="0" w:space="0" w:color="auto"/>
            <w:bottom w:val="none" w:sz="0" w:space="0" w:color="auto"/>
            <w:right w:val="none" w:sz="0" w:space="0" w:color="auto"/>
          </w:divBdr>
        </w:div>
        <w:div w:id="167255191">
          <w:marLeft w:val="0"/>
          <w:marRight w:val="0"/>
          <w:marTop w:val="0"/>
          <w:marBottom w:val="0"/>
          <w:divBdr>
            <w:top w:val="none" w:sz="0" w:space="0" w:color="auto"/>
            <w:left w:val="none" w:sz="0" w:space="0" w:color="auto"/>
            <w:bottom w:val="none" w:sz="0" w:space="0" w:color="auto"/>
            <w:right w:val="none" w:sz="0" w:space="0" w:color="auto"/>
          </w:divBdr>
        </w:div>
        <w:div w:id="198933594">
          <w:marLeft w:val="0"/>
          <w:marRight w:val="0"/>
          <w:marTop w:val="0"/>
          <w:marBottom w:val="0"/>
          <w:divBdr>
            <w:top w:val="none" w:sz="0" w:space="0" w:color="auto"/>
            <w:left w:val="none" w:sz="0" w:space="0" w:color="auto"/>
            <w:bottom w:val="none" w:sz="0" w:space="0" w:color="auto"/>
            <w:right w:val="none" w:sz="0" w:space="0" w:color="auto"/>
          </w:divBdr>
        </w:div>
        <w:div w:id="218826680">
          <w:marLeft w:val="0"/>
          <w:marRight w:val="0"/>
          <w:marTop w:val="0"/>
          <w:marBottom w:val="0"/>
          <w:divBdr>
            <w:top w:val="none" w:sz="0" w:space="0" w:color="auto"/>
            <w:left w:val="none" w:sz="0" w:space="0" w:color="auto"/>
            <w:bottom w:val="none" w:sz="0" w:space="0" w:color="auto"/>
            <w:right w:val="none" w:sz="0" w:space="0" w:color="auto"/>
          </w:divBdr>
        </w:div>
        <w:div w:id="304815322">
          <w:marLeft w:val="0"/>
          <w:marRight w:val="0"/>
          <w:marTop w:val="0"/>
          <w:marBottom w:val="0"/>
          <w:divBdr>
            <w:top w:val="none" w:sz="0" w:space="0" w:color="auto"/>
            <w:left w:val="none" w:sz="0" w:space="0" w:color="auto"/>
            <w:bottom w:val="none" w:sz="0" w:space="0" w:color="auto"/>
            <w:right w:val="none" w:sz="0" w:space="0" w:color="auto"/>
          </w:divBdr>
        </w:div>
        <w:div w:id="448429896">
          <w:marLeft w:val="0"/>
          <w:marRight w:val="0"/>
          <w:marTop w:val="0"/>
          <w:marBottom w:val="0"/>
          <w:divBdr>
            <w:top w:val="none" w:sz="0" w:space="0" w:color="auto"/>
            <w:left w:val="none" w:sz="0" w:space="0" w:color="auto"/>
            <w:bottom w:val="none" w:sz="0" w:space="0" w:color="auto"/>
            <w:right w:val="none" w:sz="0" w:space="0" w:color="auto"/>
          </w:divBdr>
        </w:div>
        <w:div w:id="626855404">
          <w:marLeft w:val="0"/>
          <w:marRight w:val="0"/>
          <w:marTop w:val="0"/>
          <w:marBottom w:val="0"/>
          <w:divBdr>
            <w:top w:val="none" w:sz="0" w:space="0" w:color="auto"/>
            <w:left w:val="none" w:sz="0" w:space="0" w:color="auto"/>
            <w:bottom w:val="none" w:sz="0" w:space="0" w:color="auto"/>
            <w:right w:val="none" w:sz="0" w:space="0" w:color="auto"/>
          </w:divBdr>
        </w:div>
        <w:div w:id="651376388">
          <w:marLeft w:val="0"/>
          <w:marRight w:val="0"/>
          <w:marTop w:val="0"/>
          <w:marBottom w:val="0"/>
          <w:divBdr>
            <w:top w:val="none" w:sz="0" w:space="0" w:color="auto"/>
            <w:left w:val="none" w:sz="0" w:space="0" w:color="auto"/>
            <w:bottom w:val="none" w:sz="0" w:space="0" w:color="auto"/>
            <w:right w:val="none" w:sz="0" w:space="0" w:color="auto"/>
          </w:divBdr>
        </w:div>
        <w:div w:id="659499451">
          <w:marLeft w:val="0"/>
          <w:marRight w:val="0"/>
          <w:marTop w:val="0"/>
          <w:marBottom w:val="0"/>
          <w:divBdr>
            <w:top w:val="none" w:sz="0" w:space="0" w:color="auto"/>
            <w:left w:val="none" w:sz="0" w:space="0" w:color="auto"/>
            <w:bottom w:val="none" w:sz="0" w:space="0" w:color="auto"/>
            <w:right w:val="none" w:sz="0" w:space="0" w:color="auto"/>
          </w:divBdr>
        </w:div>
        <w:div w:id="662977422">
          <w:marLeft w:val="0"/>
          <w:marRight w:val="0"/>
          <w:marTop w:val="0"/>
          <w:marBottom w:val="0"/>
          <w:divBdr>
            <w:top w:val="none" w:sz="0" w:space="0" w:color="auto"/>
            <w:left w:val="none" w:sz="0" w:space="0" w:color="auto"/>
            <w:bottom w:val="none" w:sz="0" w:space="0" w:color="auto"/>
            <w:right w:val="none" w:sz="0" w:space="0" w:color="auto"/>
          </w:divBdr>
        </w:div>
        <w:div w:id="732773177">
          <w:marLeft w:val="0"/>
          <w:marRight w:val="0"/>
          <w:marTop w:val="0"/>
          <w:marBottom w:val="0"/>
          <w:divBdr>
            <w:top w:val="none" w:sz="0" w:space="0" w:color="auto"/>
            <w:left w:val="none" w:sz="0" w:space="0" w:color="auto"/>
            <w:bottom w:val="none" w:sz="0" w:space="0" w:color="auto"/>
            <w:right w:val="none" w:sz="0" w:space="0" w:color="auto"/>
          </w:divBdr>
        </w:div>
        <w:div w:id="735587466">
          <w:marLeft w:val="0"/>
          <w:marRight w:val="0"/>
          <w:marTop w:val="0"/>
          <w:marBottom w:val="0"/>
          <w:divBdr>
            <w:top w:val="none" w:sz="0" w:space="0" w:color="auto"/>
            <w:left w:val="none" w:sz="0" w:space="0" w:color="auto"/>
            <w:bottom w:val="none" w:sz="0" w:space="0" w:color="auto"/>
            <w:right w:val="none" w:sz="0" w:space="0" w:color="auto"/>
          </w:divBdr>
        </w:div>
        <w:div w:id="778794969">
          <w:marLeft w:val="0"/>
          <w:marRight w:val="0"/>
          <w:marTop w:val="0"/>
          <w:marBottom w:val="0"/>
          <w:divBdr>
            <w:top w:val="none" w:sz="0" w:space="0" w:color="auto"/>
            <w:left w:val="none" w:sz="0" w:space="0" w:color="auto"/>
            <w:bottom w:val="none" w:sz="0" w:space="0" w:color="auto"/>
            <w:right w:val="none" w:sz="0" w:space="0" w:color="auto"/>
          </w:divBdr>
        </w:div>
        <w:div w:id="887843563">
          <w:marLeft w:val="0"/>
          <w:marRight w:val="0"/>
          <w:marTop w:val="0"/>
          <w:marBottom w:val="0"/>
          <w:divBdr>
            <w:top w:val="none" w:sz="0" w:space="0" w:color="auto"/>
            <w:left w:val="none" w:sz="0" w:space="0" w:color="auto"/>
            <w:bottom w:val="none" w:sz="0" w:space="0" w:color="auto"/>
            <w:right w:val="none" w:sz="0" w:space="0" w:color="auto"/>
          </w:divBdr>
        </w:div>
        <w:div w:id="902833701">
          <w:marLeft w:val="0"/>
          <w:marRight w:val="0"/>
          <w:marTop w:val="0"/>
          <w:marBottom w:val="0"/>
          <w:divBdr>
            <w:top w:val="none" w:sz="0" w:space="0" w:color="auto"/>
            <w:left w:val="none" w:sz="0" w:space="0" w:color="auto"/>
            <w:bottom w:val="none" w:sz="0" w:space="0" w:color="auto"/>
            <w:right w:val="none" w:sz="0" w:space="0" w:color="auto"/>
          </w:divBdr>
        </w:div>
        <w:div w:id="1098913418">
          <w:marLeft w:val="0"/>
          <w:marRight w:val="0"/>
          <w:marTop w:val="0"/>
          <w:marBottom w:val="0"/>
          <w:divBdr>
            <w:top w:val="none" w:sz="0" w:space="0" w:color="auto"/>
            <w:left w:val="none" w:sz="0" w:space="0" w:color="auto"/>
            <w:bottom w:val="none" w:sz="0" w:space="0" w:color="auto"/>
            <w:right w:val="none" w:sz="0" w:space="0" w:color="auto"/>
          </w:divBdr>
        </w:div>
        <w:div w:id="1116413847">
          <w:marLeft w:val="0"/>
          <w:marRight w:val="0"/>
          <w:marTop w:val="0"/>
          <w:marBottom w:val="0"/>
          <w:divBdr>
            <w:top w:val="none" w:sz="0" w:space="0" w:color="auto"/>
            <w:left w:val="none" w:sz="0" w:space="0" w:color="auto"/>
            <w:bottom w:val="none" w:sz="0" w:space="0" w:color="auto"/>
            <w:right w:val="none" w:sz="0" w:space="0" w:color="auto"/>
          </w:divBdr>
        </w:div>
        <w:div w:id="1297174235">
          <w:marLeft w:val="0"/>
          <w:marRight w:val="0"/>
          <w:marTop w:val="0"/>
          <w:marBottom w:val="0"/>
          <w:divBdr>
            <w:top w:val="none" w:sz="0" w:space="0" w:color="auto"/>
            <w:left w:val="none" w:sz="0" w:space="0" w:color="auto"/>
            <w:bottom w:val="none" w:sz="0" w:space="0" w:color="auto"/>
            <w:right w:val="none" w:sz="0" w:space="0" w:color="auto"/>
          </w:divBdr>
        </w:div>
        <w:div w:id="1376079958">
          <w:marLeft w:val="0"/>
          <w:marRight w:val="0"/>
          <w:marTop w:val="0"/>
          <w:marBottom w:val="0"/>
          <w:divBdr>
            <w:top w:val="none" w:sz="0" w:space="0" w:color="auto"/>
            <w:left w:val="none" w:sz="0" w:space="0" w:color="auto"/>
            <w:bottom w:val="none" w:sz="0" w:space="0" w:color="auto"/>
            <w:right w:val="none" w:sz="0" w:space="0" w:color="auto"/>
          </w:divBdr>
        </w:div>
        <w:div w:id="1408068615">
          <w:marLeft w:val="0"/>
          <w:marRight w:val="0"/>
          <w:marTop w:val="0"/>
          <w:marBottom w:val="0"/>
          <w:divBdr>
            <w:top w:val="none" w:sz="0" w:space="0" w:color="auto"/>
            <w:left w:val="none" w:sz="0" w:space="0" w:color="auto"/>
            <w:bottom w:val="none" w:sz="0" w:space="0" w:color="auto"/>
            <w:right w:val="none" w:sz="0" w:space="0" w:color="auto"/>
          </w:divBdr>
        </w:div>
        <w:div w:id="1543057869">
          <w:marLeft w:val="0"/>
          <w:marRight w:val="0"/>
          <w:marTop w:val="0"/>
          <w:marBottom w:val="0"/>
          <w:divBdr>
            <w:top w:val="none" w:sz="0" w:space="0" w:color="auto"/>
            <w:left w:val="none" w:sz="0" w:space="0" w:color="auto"/>
            <w:bottom w:val="none" w:sz="0" w:space="0" w:color="auto"/>
            <w:right w:val="none" w:sz="0" w:space="0" w:color="auto"/>
          </w:divBdr>
        </w:div>
        <w:div w:id="1549954562">
          <w:marLeft w:val="0"/>
          <w:marRight w:val="0"/>
          <w:marTop w:val="0"/>
          <w:marBottom w:val="0"/>
          <w:divBdr>
            <w:top w:val="none" w:sz="0" w:space="0" w:color="auto"/>
            <w:left w:val="none" w:sz="0" w:space="0" w:color="auto"/>
            <w:bottom w:val="none" w:sz="0" w:space="0" w:color="auto"/>
            <w:right w:val="none" w:sz="0" w:space="0" w:color="auto"/>
          </w:divBdr>
        </w:div>
        <w:div w:id="1705864006">
          <w:marLeft w:val="0"/>
          <w:marRight w:val="0"/>
          <w:marTop w:val="0"/>
          <w:marBottom w:val="0"/>
          <w:divBdr>
            <w:top w:val="none" w:sz="0" w:space="0" w:color="auto"/>
            <w:left w:val="none" w:sz="0" w:space="0" w:color="auto"/>
            <w:bottom w:val="none" w:sz="0" w:space="0" w:color="auto"/>
            <w:right w:val="none" w:sz="0" w:space="0" w:color="auto"/>
          </w:divBdr>
        </w:div>
        <w:div w:id="1706757564">
          <w:marLeft w:val="0"/>
          <w:marRight w:val="0"/>
          <w:marTop w:val="0"/>
          <w:marBottom w:val="0"/>
          <w:divBdr>
            <w:top w:val="none" w:sz="0" w:space="0" w:color="auto"/>
            <w:left w:val="none" w:sz="0" w:space="0" w:color="auto"/>
            <w:bottom w:val="none" w:sz="0" w:space="0" w:color="auto"/>
            <w:right w:val="none" w:sz="0" w:space="0" w:color="auto"/>
          </w:divBdr>
        </w:div>
        <w:div w:id="1711951985">
          <w:marLeft w:val="0"/>
          <w:marRight w:val="0"/>
          <w:marTop w:val="0"/>
          <w:marBottom w:val="0"/>
          <w:divBdr>
            <w:top w:val="none" w:sz="0" w:space="0" w:color="auto"/>
            <w:left w:val="none" w:sz="0" w:space="0" w:color="auto"/>
            <w:bottom w:val="none" w:sz="0" w:space="0" w:color="auto"/>
            <w:right w:val="none" w:sz="0" w:space="0" w:color="auto"/>
          </w:divBdr>
        </w:div>
        <w:div w:id="1770464640">
          <w:marLeft w:val="0"/>
          <w:marRight w:val="0"/>
          <w:marTop w:val="0"/>
          <w:marBottom w:val="0"/>
          <w:divBdr>
            <w:top w:val="none" w:sz="0" w:space="0" w:color="auto"/>
            <w:left w:val="none" w:sz="0" w:space="0" w:color="auto"/>
            <w:bottom w:val="none" w:sz="0" w:space="0" w:color="auto"/>
            <w:right w:val="none" w:sz="0" w:space="0" w:color="auto"/>
          </w:divBdr>
        </w:div>
        <w:div w:id="1822379500">
          <w:marLeft w:val="0"/>
          <w:marRight w:val="0"/>
          <w:marTop w:val="0"/>
          <w:marBottom w:val="0"/>
          <w:divBdr>
            <w:top w:val="none" w:sz="0" w:space="0" w:color="auto"/>
            <w:left w:val="none" w:sz="0" w:space="0" w:color="auto"/>
            <w:bottom w:val="none" w:sz="0" w:space="0" w:color="auto"/>
            <w:right w:val="none" w:sz="0" w:space="0" w:color="auto"/>
          </w:divBdr>
        </w:div>
        <w:div w:id="1847787986">
          <w:marLeft w:val="0"/>
          <w:marRight w:val="0"/>
          <w:marTop w:val="0"/>
          <w:marBottom w:val="0"/>
          <w:divBdr>
            <w:top w:val="none" w:sz="0" w:space="0" w:color="auto"/>
            <w:left w:val="none" w:sz="0" w:space="0" w:color="auto"/>
            <w:bottom w:val="none" w:sz="0" w:space="0" w:color="auto"/>
            <w:right w:val="none" w:sz="0" w:space="0" w:color="auto"/>
          </w:divBdr>
        </w:div>
        <w:div w:id="1863010123">
          <w:marLeft w:val="0"/>
          <w:marRight w:val="0"/>
          <w:marTop w:val="0"/>
          <w:marBottom w:val="0"/>
          <w:divBdr>
            <w:top w:val="none" w:sz="0" w:space="0" w:color="auto"/>
            <w:left w:val="none" w:sz="0" w:space="0" w:color="auto"/>
            <w:bottom w:val="none" w:sz="0" w:space="0" w:color="auto"/>
            <w:right w:val="none" w:sz="0" w:space="0" w:color="auto"/>
          </w:divBdr>
        </w:div>
        <w:div w:id="1967077482">
          <w:marLeft w:val="0"/>
          <w:marRight w:val="0"/>
          <w:marTop w:val="0"/>
          <w:marBottom w:val="0"/>
          <w:divBdr>
            <w:top w:val="none" w:sz="0" w:space="0" w:color="auto"/>
            <w:left w:val="none" w:sz="0" w:space="0" w:color="auto"/>
            <w:bottom w:val="none" w:sz="0" w:space="0" w:color="auto"/>
            <w:right w:val="none" w:sz="0" w:space="0" w:color="auto"/>
          </w:divBdr>
        </w:div>
        <w:div w:id="2016612180">
          <w:marLeft w:val="0"/>
          <w:marRight w:val="0"/>
          <w:marTop w:val="0"/>
          <w:marBottom w:val="0"/>
          <w:divBdr>
            <w:top w:val="none" w:sz="0" w:space="0" w:color="auto"/>
            <w:left w:val="none" w:sz="0" w:space="0" w:color="auto"/>
            <w:bottom w:val="none" w:sz="0" w:space="0" w:color="auto"/>
            <w:right w:val="none" w:sz="0" w:space="0" w:color="auto"/>
          </w:divBdr>
        </w:div>
        <w:div w:id="2027169813">
          <w:marLeft w:val="0"/>
          <w:marRight w:val="0"/>
          <w:marTop w:val="0"/>
          <w:marBottom w:val="0"/>
          <w:divBdr>
            <w:top w:val="none" w:sz="0" w:space="0" w:color="auto"/>
            <w:left w:val="none" w:sz="0" w:space="0" w:color="auto"/>
            <w:bottom w:val="none" w:sz="0" w:space="0" w:color="auto"/>
            <w:right w:val="none" w:sz="0" w:space="0" w:color="auto"/>
          </w:divBdr>
        </w:div>
        <w:div w:id="2076735667">
          <w:marLeft w:val="0"/>
          <w:marRight w:val="0"/>
          <w:marTop w:val="0"/>
          <w:marBottom w:val="0"/>
          <w:divBdr>
            <w:top w:val="none" w:sz="0" w:space="0" w:color="auto"/>
            <w:left w:val="none" w:sz="0" w:space="0" w:color="auto"/>
            <w:bottom w:val="none" w:sz="0" w:space="0" w:color="auto"/>
            <w:right w:val="none" w:sz="0" w:space="0" w:color="auto"/>
          </w:divBdr>
        </w:div>
      </w:divsChild>
    </w:div>
    <w:div w:id="1098216823">
      <w:bodyDiv w:val="1"/>
      <w:marLeft w:val="0"/>
      <w:marRight w:val="0"/>
      <w:marTop w:val="0"/>
      <w:marBottom w:val="0"/>
      <w:divBdr>
        <w:top w:val="none" w:sz="0" w:space="0" w:color="auto"/>
        <w:left w:val="none" w:sz="0" w:space="0" w:color="auto"/>
        <w:bottom w:val="none" w:sz="0" w:space="0" w:color="auto"/>
        <w:right w:val="none" w:sz="0" w:space="0" w:color="auto"/>
      </w:divBdr>
    </w:div>
    <w:div w:id="1249575486">
      <w:bodyDiv w:val="1"/>
      <w:marLeft w:val="0"/>
      <w:marRight w:val="0"/>
      <w:marTop w:val="0"/>
      <w:marBottom w:val="0"/>
      <w:divBdr>
        <w:top w:val="none" w:sz="0" w:space="0" w:color="auto"/>
        <w:left w:val="none" w:sz="0" w:space="0" w:color="auto"/>
        <w:bottom w:val="none" w:sz="0" w:space="0" w:color="auto"/>
        <w:right w:val="none" w:sz="0" w:space="0" w:color="auto"/>
      </w:divBdr>
      <w:divsChild>
        <w:div w:id="33581072">
          <w:marLeft w:val="0"/>
          <w:marRight w:val="0"/>
          <w:marTop w:val="0"/>
          <w:marBottom w:val="0"/>
          <w:divBdr>
            <w:top w:val="none" w:sz="0" w:space="0" w:color="auto"/>
            <w:left w:val="none" w:sz="0" w:space="0" w:color="auto"/>
            <w:bottom w:val="none" w:sz="0" w:space="0" w:color="auto"/>
            <w:right w:val="none" w:sz="0" w:space="0" w:color="auto"/>
          </w:divBdr>
        </w:div>
        <w:div w:id="207188406">
          <w:marLeft w:val="0"/>
          <w:marRight w:val="0"/>
          <w:marTop w:val="0"/>
          <w:marBottom w:val="0"/>
          <w:divBdr>
            <w:top w:val="none" w:sz="0" w:space="0" w:color="auto"/>
            <w:left w:val="none" w:sz="0" w:space="0" w:color="auto"/>
            <w:bottom w:val="none" w:sz="0" w:space="0" w:color="auto"/>
            <w:right w:val="none" w:sz="0" w:space="0" w:color="auto"/>
          </w:divBdr>
        </w:div>
        <w:div w:id="276377371">
          <w:marLeft w:val="0"/>
          <w:marRight w:val="0"/>
          <w:marTop w:val="0"/>
          <w:marBottom w:val="0"/>
          <w:divBdr>
            <w:top w:val="none" w:sz="0" w:space="0" w:color="auto"/>
            <w:left w:val="none" w:sz="0" w:space="0" w:color="auto"/>
            <w:bottom w:val="none" w:sz="0" w:space="0" w:color="auto"/>
            <w:right w:val="none" w:sz="0" w:space="0" w:color="auto"/>
          </w:divBdr>
        </w:div>
        <w:div w:id="654990521">
          <w:marLeft w:val="0"/>
          <w:marRight w:val="0"/>
          <w:marTop w:val="0"/>
          <w:marBottom w:val="0"/>
          <w:divBdr>
            <w:top w:val="none" w:sz="0" w:space="0" w:color="auto"/>
            <w:left w:val="none" w:sz="0" w:space="0" w:color="auto"/>
            <w:bottom w:val="none" w:sz="0" w:space="0" w:color="auto"/>
            <w:right w:val="none" w:sz="0" w:space="0" w:color="auto"/>
          </w:divBdr>
        </w:div>
        <w:div w:id="674381501">
          <w:marLeft w:val="0"/>
          <w:marRight w:val="0"/>
          <w:marTop w:val="0"/>
          <w:marBottom w:val="0"/>
          <w:divBdr>
            <w:top w:val="none" w:sz="0" w:space="0" w:color="auto"/>
            <w:left w:val="none" w:sz="0" w:space="0" w:color="auto"/>
            <w:bottom w:val="none" w:sz="0" w:space="0" w:color="auto"/>
            <w:right w:val="none" w:sz="0" w:space="0" w:color="auto"/>
          </w:divBdr>
        </w:div>
        <w:div w:id="818693474">
          <w:marLeft w:val="0"/>
          <w:marRight w:val="0"/>
          <w:marTop w:val="0"/>
          <w:marBottom w:val="0"/>
          <w:divBdr>
            <w:top w:val="none" w:sz="0" w:space="0" w:color="auto"/>
            <w:left w:val="none" w:sz="0" w:space="0" w:color="auto"/>
            <w:bottom w:val="none" w:sz="0" w:space="0" w:color="auto"/>
            <w:right w:val="none" w:sz="0" w:space="0" w:color="auto"/>
          </w:divBdr>
        </w:div>
        <w:div w:id="894779654">
          <w:marLeft w:val="0"/>
          <w:marRight w:val="0"/>
          <w:marTop w:val="0"/>
          <w:marBottom w:val="0"/>
          <w:divBdr>
            <w:top w:val="none" w:sz="0" w:space="0" w:color="auto"/>
            <w:left w:val="none" w:sz="0" w:space="0" w:color="auto"/>
            <w:bottom w:val="none" w:sz="0" w:space="0" w:color="auto"/>
            <w:right w:val="none" w:sz="0" w:space="0" w:color="auto"/>
          </w:divBdr>
        </w:div>
        <w:div w:id="1091201793">
          <w:marLeft w:val="0"/>
          <w:marRight w:val="0"/>
          <w:marTop w:val="0"/>
          <w:marBottom w:val="0"/>
          <w:divBdr>
            <w:top w:val="none" w:sz="0" w:space="0" w:color="auto"/>
            <w:left w:val="none" w:sz="0" w:space="0" w:color="auto"/>
            <w:bottom w:val="none" w:sz="0" w:space="0" w:color="auto"/>
            <w:right w:val="none" w:sz="0" w:space="0" w:color="auto"/>
          </w:divBdr>
        </w:div>
        <w:div w:id="1099981205">
          <w:marLeft w:val="0"/>
          <w:marRight w:val="0"/>
          <w:marTop w:val="0"/>
          <w:marBottom w:val="0"/>
          <w:divBdr>
            <w:top w:val="none" w:sz="0" w:space="0" w:color="auto"/>
            <w:left w:val="none" w:sz="0" w:space="0" w:color="auto"/>
            <w:bottom w:val="none" w:sz="0" w:space="0" w:color="auto"/>
            <w:right w:val="none" w:sz="0" w:space="0" w:color="auto"/>
          </w:divBdr>
        </w:div>
        <w:div w:id="1130710697">
          <w:marLeft w:val="0"/>
          <w:marRight w:val="0"/>
          <w:marTop w:val="0"/>
          <w:marBottom w:val="0"/>
          <w:divBdr>
            <w:top w:val="none" w:sz="0" w:space="0" w:color="auto"/>
            <w:left w:val="none" w:sz="0" w:space="0" w:color="auto"/>
            <w:bottom w:val="none" w:sz="0" w:space="0" w:color="auto"/>
            <w:right w:val="none" w:sz="0" w:space="0" w:color="auto"/>
          </w:divBdr>
        </w:div>
        <w:div w:id="1188445618">
          <w:marLeft w:val="0"/>
          <w:marRight w:val="0"/>
          <w:marTop w:val="0"/>
          <w:marBottom w:val="0"/>
          <w:divBdr>
            <w:top w:val="none" w:sz="0" w:space="0" w:color="auto"/>
            <w:left w:val="none" w:sz="0" w:space="0" w:color="auto"/>
            <w:bottom w:val="none" w:sz="0" w:space="0" w:color="auto"/>
            <w:right w:val="none" w:sz="0" w:space="0" w:color="auto"/>
          </w:divBdr>
        </w:div>
        <w:div w:id="1249191099">
          <w:marLeft w:val="0"/>
          <w:marRight w:val="0"/>
          <w:marTop w:val="0"/>
          <w:marBottom w:val="0"/>
          <w:divBdr>
            <w:top w:val="none" w:sz="0" w:space="0" w:color="auto"/>
            <w:left w:val="none" w:sz="0" w:space="0" w:color="auto"/>
            <w:bottom w:val="none" w:sz="0" w:space="0" w:color="auto"/>
            <w:right w:val="none" w:sz="0" w:space="0" w:color="auto"/>
          </w:divBdr>
        </w:div>
        <w:div w:id="1401516270">
          <w:marLeft w:val="0"/>
          <w:marRight w:val="0"/>
          <w:marTop w:val="0"/>
          <w:marBottom w:val="0"/>
          <w:divBdr>
            <w:top w:val="none" w:sz="0" w:space="0" w:color="auto"/>
            <w:left w:val="none" w:sz="0" w:space="0" w:color="auto"/>
            <w:bottom w:val="none" w:sz="0" w:space="0" w:color="auto"/>
            <w:right w:val="none" w:sz="0" w:space="0" w:color="auto"/>
          </w:divBdr>
        </w:div>
        <w:div w:id="1527016259">
          <w:marLeft w:val="0"/>
          <w:marRight w:val="0"/>
          <w:marTop w:val="0"/>
          <w:marBottom w:val="0"/>
          <w:divBdr>
            <w:top w:val="none" w:sz="0" w:space="0" w:color="auto"/>
            <w:left w:val="none" w:sz="0" w:space="0" w:color="auto"/>
            <w:bottom w:val="none" w:sz="0" w:space="0" w:color="auto"/>
            <w:right w:val="none" w:sz="0" w:space="0" w:color="auto"/>
          </w:divBdr>
        </w:div>
        <w:div w:id="1663459835">
          <w:marLeft w:val="0"/>
          <w:marRight w:val="0"/>
          <w:marTop w:val="0"/>
          <w:marBottom w:val="0"/>
          <w:divBdr>
            <w:top w:val="none" w:sz="0" w:space="0" w:color="auto"/>
            <w:left w:val="none" w:sz="0" w:space="0" w:color="auto"/>
            <w:bottom w:val="none" w:sz="0" w:space="0" w:color="auto"/>
            <w:right w:val="none" w:sz="0" w:space="0" w:color="auto"/>
          </w:divBdr>
        </w:div>
        <w:div w:id="1681200715">
          <w:marLeft w:val="0"/>
          <w:marRight w:val="0"/>
          <w:marTop w:val="0"/>
          <w:marBottom w:val="0"/>
          <w:divBdr>
            <w:top w:val="none" w:sz="0" w:space="0" w:color="auto"/>
            <w:left w:val="none" w:sz="0" w:space="0" w:color="auto"/>
            <w:bottom w:val="none" w:sz="0" w:space="0" w:color="auto"/>
            <w:right w:val="none" w:sz="0" w:space="0" w:color="auto"/>
          </w:divBdr>
        </w:div>
        <w:div w:id="1937788558">
          <w:marLeft w:val="0"/>
          <w:marRight w:val="0"/>
          <w:marTop w:val="0"/>
          <w:marBottom w:val="0"/>
          <w:divBdr>
            <w:top w:val="none" w:sz="0" w:space="0" w:color="auto"/>
            <w:left w:val="none" w:sz="0" w:space="0" w:color="auto"/>
            <w:bottom w:val="none" w:sz="0" w:space="0" w:color="auto"/>
            <w:right w:val="none" w:sz="0" w:space="0" w:color="auto"/>
          </w:divBdr>
        </w:div>
        <w:div w:id="1954510562">
          <w:marLeft w:val="0"/>
          <w:marRight w:val="0"/>
          <w:marTop w:val="0"/>
          <w:marBottom w:val="0"/>
          <w:divBdr>
            <w:top w:val="none" w:sz="0" w:space="0" w:color="auto"/>
            <w:left w:val="none" w:sz="0" w:space="0" w:color="auto"/>
            <w:bottom w:val="none" w:sz="0" w:space="0" w:color="auto"/>
            <w:right w:val="none" w:sz="0" w:space="0" w:color="auto"/>
          </w:divBdr>
        </w:div>
        <w:div w:id="2124764489">
          <w:marLeft w:val="0"/>
          <w:marRight w:val="0"/>
          <w:marTop w:val="0"/>
          <w:marBottom w:val="0"/>
          <w:divBdr>
            <w:top w:val="none" w:sz="0" w:space="0" w:color="auto"/>
            <w:left w:val="none" w:sz="0" w:space="0" w:color="auto"/>
            <w:bottom w:val="none" w:sz="0" w:space="0" w:color="auto"/>
            <w:right w:val="none" w:sz="0" w:space="0" w:color="auto"/>
          </w:divBdr>
        </w:div>
      </w:divsChild>
    </w:div>
    <w:div w:id="1262028980">
      <w:bodyDiv w:val="1"/>
      <w:marLeft w:val="0"/>
      <w:marRight w:val="0"/>
      <w:marTop w:val="0"/>
      <w:marBottom w:val="0"/>
      <w:divBdr>
        <w:top w:val="none" w:sz="0" w:space="0" w:color="auto"/>
        <w:left w:val="none" w:sz="0" w:space="0" w:color="auto"/>
        <w:bottom w:val="none" w:sz="0" w:space="0" w:color="auto"/>
        <w:right w:val="none" w:sz="0" w:space="0" w:color="auto"/>
      </w:divBdr>
    </w:div>
    <w:div w:id="1487014694">
      <w:bodyDiv w:val="1"/>
      <w:marLeft w:val="0"/>
      <w:marRight w:val="0"/>
      <w:marTop w:val="0"/>
      <w:marBottom w:val="0"/>
      <w:divBdr>
        <w:top w:val="none" w:sz="0" w:space="0" w:color="auto"/>
        <w:left w:val="none" w:sz="0" w:space="0" w:color="auto"/>
        <w:bottom w:val="none" w:sz="0" w:space="0" w:color="auto"/>
        <w:right w:val="none" w:sz="0" w:space="0" w:color="auto"/>
      </w:divBdr>
      <w:divsChild>
        <w:div w:id="281885182">
          <w:marLeft w:val="0"/>
          <w:marRight w:val="0"/>
          <w:marTop w:val="0"/>
          <w:marBottom w:val="0"/>
          <w:divBdr>
            <w:top w:val="none" w:sz="0" w:space="0" w:color="auto"/>
            <w:left w:val="none" w:sz="0" w:space="0" w:color="auto"/>
            <w:bottom w:val="none" w:sz="0" w:space="0" w:color="auto"/>
            <w:right w:val="none" w:sz="0" w:space="0" w:color="auto"/>
          </w:divBdr>
        </w:div>
        <w:div w:id="575476244">
          <w:marLeft w:val="0"/>
          <w:marRight w:val="0"/>
          <w:marTop w:val="0"/>
          <w:marBottom w:val="0"/>
          <w:divBdr>
            <w:top w:val="none" w:sz="0" w:space="0" w:color="auto"/>
            <w:left w:val="none" w:sz="0" w:space="0" w:color="auto"/>
            <w:bottom w:val="none" w:sz="0" w:space="0" w:color="auto"/>
            <w:right w:val="none" w:sz="0" w:space="0" w:color="auto"/>
          </w:divBdr>
        </w:div>
        <w:div w:id="1324507261">
          <w:marLeft w:val="0"/>
          <w:marRight w:val="0"/>
          <w:marTop w:val="0"/>
          <w:marBottom w:val="0"/>
          <w:divBdr>
            <w:top w:val="none" w:sz="0" w:space="0" w:color="auto"/>
            <w:left w:val="none" w:sz="0" w:space="0" w:color="auto"/>
            <w:bottom w:val="none" w:sz="0" w:space="0" w:color="auto"/>
            <w:right w:val="none" w:sz="0" w:space="0" w:color="auto"/>
          </w:divBdr>
        </w:div>
        <w:div w:id="1347948813">
          <w:marLeft w:val="0"/>
          <w:marRight w:val="0"/>
          <w:marTop w:val="0"/>
          <w:marBottom w:val="0"/>
          <w:divBdr>
            <w:top w:val="none" w:sz="0" w:space="0" w:color="auto"/>
            <w:left w:val="none" w:sz="0" w:space="0" w:color="auto"/>
            <w:bottom w:val="none" w:sz="0" w:space="0" w:color="auto"/>
            <w:right w:val="none" w:sz="0" w:space="0" w:color="auto"/>
          </w:divBdr>
        </w:div>
        <w:div w:id="1759407033">
          <w:marLeft w:val="0"/>
          <w:marRight w:val="0"/>
          <w:marTop w:val="0"/>
          <w:marBottom w:val="0"/>
          <w:divBdr>
            <w:top w:val="none" w:sz="0" w:space="0" w:color="auto"/>
            <w:left w:val="none" w:sz="0" w:space="0" w:color="auto"/>
            <w:bottom w:val="none" w:sz="0" w:space="0" w:color="auto"/>
            <w:right w:val="none" w:sz="0" w:space="0" w:color="auto"/>
          </w:divBdr>
        </w:div>
      </w:divsChild>
    </w:div>
    <w:div w:id="1546794159">
      <w:bodyDiv w:val="1"/>
      <w:marLeft w:val="0"/>
      <w:marRight w:val="0"/>
      <w:marTop w:val="0"/>
      <w:marBottom w:val="0"/>
      <w:divBdr>
        <w:top w:val="none" w:sz="0" w:space="0" w:color="auto"/>
        <w:left w:val="none" w:sz="0" w:space="0" w:color="auto"/>
        <w:bottom w:val="none" w:sz="0" w:space="0" w:color="auto"/>
        <w:right w:val="none" w:sz="0" w:space="0" w:color="auto"/>
      </w:divBdr>
    </w:div>
    <w:div w:id="1557859125">
      <w:bodyDiv w:val="1"/>
      <w:marLeft w:val="0"/>
      <w:marRight w:val="0"/>
      <w:marTop w:val="0"/>
      <w:marBottom w:val="0"/>
      <w:divBdr>
        <w:top w:val="none" w:sz="0" w:space="0" w:color="auto"/>
        <w:left w:val="none" w:sz="0" w:space="0" w:color="auto"/>
        <w:bottom w:val="none" w:sz="0" w:space="0" w:color="auto"/>
        <w:right w:val="none" w:sz="0" w:space="0" w:color="auto"/>
      </w:divBdr>
    </w:div>
    <w:div w:id="1684669668">
      <w:bodyDiv w:val="1"/>
      <w:marLeft w:val="0"/>
      <w:marRight w:val="0"/>
      <w:marTop w:val="0"/>
      <w:marBottom w:val="0"/>
      <w:divBdr>
        <w:top w:val="none" w:sz="0" w:space="0" w:color="auto"/>
        <w:left w:val="none" w:sz="0" w:space="0" w:color="auto"/>
        <w:bottom w:val="none" w:sz="0" w:space="0" w:color="auto"/>
        <w:right w:val="none" w:sz="0" w:space="0" w:color="auto"/>
      </w:divBdr>
    </w:div>
    <w:div w:id="1770462853">
      <w:bodyDiv w:val="1"/>
      <w:marLeft w:val="0"/>
      <w:marRight w:val="0"/>
      <w:marTop w:val="0"/>
      <w:marBottom w:val="0"/>
      <w:divBdr>
        <w:top w:val="none" w:sz="0" w:space="0" w:color="auto"/>
        <w:left w:val="none" w:sz="0" w:space="0" w:color="auto"/>
        <w:bottom w:val="none" w:sz="0" w:space="0" w:color="auto"/>
        <w:right w:val="none" w:sz="0" w:space="0" w:color="auto"/>
      </w:divBdr>
      <w:divsChild>
        <w:div w:id="89590691">
          <w:marLeft w:val="0"/>
          <w:marRight w:val="0"/>
          <w:marTop w:val="0"/>
          <w:marBottom w:val="0"/>
          <w:divBdr>
            <w:top w:val="none" w:sz="0" w:space="0" w:color="auto"/>
            <w:left w:val="none" w:sz="0" w:space="0" w:color="auto"/>
            <w:bottom w:val="none" w:sz="0" w:space="0" w:color="auto"/>
            <w:right w:val="none" w:sz="0" w:space="0" w:color="auto"/>
          </w:divBdr>
        </w:div>
        <w:div w:id="174197830">
          <w:marLeft w:val="0"/>
          <w:marRight w:val="0"/>
          <w:marTop w:val="0"/>
          <w:marBottom w:val="0"/>
          <w:divBdr>
            <w:top w:val="none" w:sz="0" w:space="0" w:color="auto"/>
            <w:left w:val="none" w:sz="0" w:space="0" w:color="auto"/>
            <w:bottom w:val="none" w:sz="0" w:space="0" w:color="auto"/>
            <w:right w:val="none" w:sz="0" w:space="0" w:color="auto"/>
          </w:divBdr>
        </w:div>
        <w:div w:id="204485262">
          <w:marLeft w:val="0"/>
          <w:marRight w:val="0"/>
          <w:marTop w:val="0"/>
          <w:marBottom w:val="0"/>
          <w:divBdr>
            <w:top w:val="none" w:sz="0" w:space="0" w:color="auto"/>
            <w:left w:val="none" w:sz="0" w:space="0" w:color="auto"/>
            <w:bottom w:val="none" w:sz="0" w:space="0" w:color="auto"/>
            <w:right w:val="none" w:sz="0" w:space="0" w:color="auto"/>
          </w:divBdr>
        </w:div>
        <w:div w:id="403113933">
          <w:marLeft w:val="0"/>
          <w:marRight w:val="0"/>
          <w:marTop w:val="0"/>
          <w:marBottom w:val="0"/>
          <w:divBdr>
            <w:top w:val="none" w:sz="0" w:space="0" w:color="auto"/>
            <w:left w:val="none" w:sz="0" w:space="0" w:color="auto"/>
            <w:bottom w:val="none" w:sz="0" w:space="0" w:color="auto"/>
            <w:right w:val="none" w:sz="0" w:space="0" w:color="auto"/>
          </w:divBdr>
        </w:div>
        <w:div w:id="701176768">
          <w:marLeft w:val="0"/>
          <w:marRight w:val="0"/>
          <w:marTop w:val="0"/>
          <w:marBottom w:val="0"/>
          <w:divBdr>
            <w:top w:val="none" w:sz="0" w:space="0" w:color="auto"/>
            <w:left w:val="none" w:sz="0" w:space="0" w:color="auto"/>
            <w:bottom w:val="none" w:sz="0" w:space="0" w:color="auto"/>
            <w:right w:val="none" w:sz="0" w:space="0" w:color="auto"/>
          </w:divBdr>
        </w:div>
        <w:div w:id="701830196">
          <w:marLeft w:val="0"/>
          <w:marRight w:val="0"/>
          <w:marTop w:val="0"/>
          <w:marBottom w:val="0"/>
          <w:divBdr>
            <w:top w:val="none" w:sz="0" w:space="0" w:color="auto"/>
            <w:left w:val="none" w:sz="0" w:space="0" w:color="auto"/>
            <w:bottom w:val="none" w:sz="0" w:space="0" w:color="auto"/>
            <w:right w:val="none" w:sz="0" w:space="0" w:color="auto"/>
          </w:divBdr>
        </w:div>
        <w:div w:id="701903929">
          <w:marLeft w:val="0"/>
          <w:marRight w:val="0"/>
          <w:marTop w:val="0"/>
          <w:marBottom w:val="0"/>
          <w:divBdr>
            <w:top w:val="none" w:sz="0" w:space="0" w:color="auto"/>
            <w:left w:val="none" w:sz="0" w:space="0" w:color="auto"/>
            <w:bottom w:val="none" w:sz="0" w:space="0" w:color="auto"/>
            <w:right w:val="none" w:sz="0" w:space="0" w:color="auto"/>
          </w:divBdr>
        </w:div>
        <w:div w:id="1154957419">
          <w:marLeft w:val="0"/>
          <w:marRight w:val="0"/>
          <w:marTop w:val="0"/>
          <w:marBottom w:val="0"/>
          <w:divBdr>
            <w:top w:val="none" w:sz="0" w:space="0" w:color="auto"/>
            <w:left w:val="none" w:sz="0" w:space="0" w:color="auto"/>
            <w:bottom w:val="none" w:sz="0" w:space="0" w:color="auto"/>
            <w:right w:val="none" w:sz="0" w:space="0" w:color="auto"/>
          </w:divBdr>
        </w:div>
        <w:div w:id="1179152709">
          <w:marLeft w:val="0"/>
          <w:marRight w:val="0"/>
          <w:marTop w:val="0"/>
          <w:marBottom w:val="0"/>
          <w:divBdr>
            <w:top w:val="none" w:sz="0" w:space="0" w:color="auto"/>
            <w:left w:val="none" w:sz="0" w:space="0" w:color="auto"/>
            <w:bottom w:val="none" w:sz="0" w:space="0" w:color="auto"/>
            <w:right w:val="none" w:sz="0" w:space="0" w:color="auto"/>
          </w:divBdr>
        </w:div>
        <w:div w:id="1572042150">
          <w:marLeft w:val="0"/>
          <w:marRight w:val="0"/>
          <w:marTop w:val="0"/>
          <w:marBottom w:val="0"/>
          <w:divBdr>
            <w:top w:val="none" w:sz="0" w:space="0" w:color="auto"/>
            <w:left w:val="none" w:sz="0" w:space="0" w:color="auto"/>
            <w:bottom w:val="none" w:sz="0" w:space="0" w:color="auto"/>
            <w:right w:val="none" w:sz="0" w:space="0" w:color="auto"/>
          </w:divBdr>
        </w:div>
        <w:div w:id="1649476056">
          <w:marLeft w:val="0"/>
          <w:marRight w:val="0"/>
          <w:marTop w:val="0"/>
          <w:marBottom w:val="0"/>
          <w:divBdr>
            <w:top w:val="none" w:sz="0" w:space="0" w:color="auto"/>
            <w:left w:val="none" w:sz="0" w:space="0" w:color="auto"/>
            <w:bottom w:val="none" w:sz="0" w:space="0" w:color="auto"/>
            <w:right w:val="none" w:sz="0" w:space="0" w:color="auto"/>
          </w:divBdr>
        </w:div>
        <w:div w:id="1779569343">
          <w:marLeft w:val="0"/>
          <w:marRight w:val="0"/>
          <w:marTop w:val="0"/>
          <w:marBottom w:val="0"/>
          <w:divBdr>
            <w:top w:val="none" w:sz="0" w:space="0" w:color="auto"/>
            <w:left w:val="none" w:sz="0" w:space="0" w:color="auto"/>
            <w:bottom w:val="none" w:sz="0" w:space="0" w:color="auto"/>
            <w:right w:val="none" w:sz="0" w:space="0" w:color="auto"/>
          </w:divBdr>
        </w:div>
        <w:div w:id="1928229904">
          <w:marLeft w:val="0"/>
          <w:marRight w:val="0"/>
          <w:marTop w:val="0"/>
          <w:marBottom w:val="0"/>
          <w:divBdr>
            <w:top w:val="none" w:sz="0" w:space="0" w:color="auto"/>
            <w:left w:val="none" w:sz="0" w:space="0" w:color="auto"/>
            <w:bottom w:val="none" w:sz="0" w:space="0" w:color="auto"/>
            <w:right w:val="none" w:sz="0" w:space="0" w:color="auto"/>
          </w:divBdr>
        </w:div>
        <w:div w:id="1956056511">
          <w:marLeft w:val="0"/>
          <w:marRight w:val="0"/>
          <w:marTop w:val="0"/>
          <w:marBottom w:val="0"/>
          <w:divBdr>
            <w:top w:val="none" w:sz="0" w:space="0" w:color="auto"/>
            <w:left w:val="none" w:sz="0" w:space="0" w:color="auto"/>
            <w:bottom w:val="none" w:sz="0" w:space="0" w:color="auto"/>
            <w:right w:val="none" w:sz="0" w:space="0" w:color="auto"/>
          </w:divBdr>
        </w:div>
        <w:div w:id="2103868174">
          <w:marLeft w:val="0"/>
          <w:marRight w:val="0"/>
          <w:marTop w:val="0"/>
          <w:marBottom w:val="0"/>
          <w:divBdr>
            <w:top w:val="none" w:sz="0" w:space="0" w:color="auto"/>
            <w:left w:val="none" w:sz="0" w:space="0" w:color="auto"/>
            <w:bottom w:val="none" w:sz="0" w:space="0" w:color="auto"/>
            <w:right w:val="none" w:sz="0" w:space="0" w:color="auto"/>
          </w:divBdr>
        </w:div>
      </w:divsChild>
    </w:div>
    <w:div w:id="2023166450">
      <w:bodyDiv w:val="1"/>
      <w:marLeft w:val="0"/>
      <w:marRight w:val="0"/>
      <w:marTop w:val="0"/>
      <w:marBottom w:val="0"/>
      <w:divBdr>
        <w:top w:val="none" w:sz="0" w:space="0" w:color="auto"/>
        <w:left w:val="none" w:sz="0" w:space="0" w:color="auto"/>
        <w:bottom w:val="none" w:sz="0" w:space="0" w:color="auto"/>
        <w:right w:val="none" w:sz="0" w:space="0" w:color="auto"/>
      </w:divBdr>
    </w:div>
    <w:div w:id="212075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apnews.com/article/central-park-horse-carriage-death-ban-industry-6d46f8bad0e0888e4f291fef4b89db00" TargetMode="External"/><Relationship Id="rId18" Type="http://schemas.openxmlformats.org/officeDocument/2006/relationships/hyperlink" Target="https://www.msn.com/en-us/news/us/carriage-horse-collapses-dies-in-central-park-renewing-calls-to-ban-industry/ar-AA25f7Zh?ocid=BingNewsVerp" TargetMode="External"/><Relationship Id="rId26" Type="http://schemas.openxmlformats.org/officeDocument/2006/relationships/hyperlink" Target="https://www.nbcchicago.com/news/local/chicago-to-ban-horse-drawn-carriages-starting-in-2021/2261730/" TargetMode="External"/><Relationship Id="rId39" Type="http://schemas.openxmlformats.org/officeDocument/2006/relationships/hyperlink" Target="https://nypost.com/2018/08/30/de-blasio-wants-horse-carriage-pickups-to-happen-inside-central-park/" TargetMode="External"/><Relationship Id="rId21" Type="http://schemas.openxmlformats.org/officeDocument/2006/relationships/hyperlink" Target="https://www.cbsnews.com/newyork/news/nyc-hells-kitchen-carriage-horse-dies/" TargetMode="External"/><Relationship Id="rId34" Type="http://schemas.openxmlformats.org/officeDocument/2006/relationships/hyperlink" Target="https://www.animallaw.info/sites/default/files/lralvol17_1_171.pdf" TargetMode="External"/><Relationship Id="rId42" Type="http://schemas.openxmlformats.org/officeDocument/2006/relationships/hyperlink" Target="https://www.usef.org/media/press-releases/us-equestrian-competition-update-heat-index" TargetMode="External"/><Relationship Id="rId47" Type="http://schemas.openxmlformats.org/officeDocument/2006/relationships/hyperlink" Target="https://legistar.council.nyc.gov/LegislationDetail.aspx?ID=6730709&amp;GUID=B8A7A0AC-DD58-4517-8DBA-08A36AEFD5ED&amp;Options=&amp;Search=" TargetMode="External"/><Relationship Id="rId7" Type="http://schemas.openxmlformats.org/officeDocument/2006/relationships/hyperlink" Target="https://www.nyc.gov/site/doh/health/health-topics/horses.page" TargetMode="External"/><Relationship Id="rId2" Type="http://schemas.openxmlformats.org/officeDocument/2006/relationships/hyperlink" Target="https://www.fox5ny.com/news/nyc-carriage-horse-controversy-laws-history" TargetMode="External"/><Relationship Id="rId16" Type="http://schemas.openxmlformats.org/officeDocument/2006/relationships/hyperlink" Target="https://www.lancasterfarming.com/country-life/mid-atlantic-horse/a-break-from-the-big-apple-for-new-york-carriage-horses/article_b4ef50b5-36af-559e-a696-751637507d92.html" TargetMode="External"/><Relationship Id="rId29" Type="http://schemas.openxmlformats.org/officeDocument/2006/relationships/hyperlink" Target="https://library.municode.com/tx/san_antonio/ordinances/code_of_ordinances?nodeId=1337569" TargetMode="External"/><Relationship Id="rId1" Type="http://schemas.openxmlformats.org/officeDocument/2006/relationships/hyperlink" Target="https://nypost.com/2022/08/11/everything-you-need-to-know-about-nycs-horse-and-carriage-industry/" TargetMode="External"/><Relationship Id="rId6" Type="http://schemas.openxmlformats.org/officeDocument/2006/relationships/hyperlink" Target="https://www.nyc.gov/site/doh/health/health-topics/horses.page" TargetMode="External"/><Relationship Id="rId11" Type="http://schemas.openxmlformats.org/officeDocument/2006/relationships/hyperlink" Target="https://www.fox5ny.com/news/nyc-carriage-horse-controversy-laws-history" TargetMode="External"/><Relationship Id="rId24" Type="http://schemas.openxmlformats.org/officeDocument/2006/relationships/hyperlink" Target="https://www.peta.org/features/horse-drawn-carriage-bans/" TargetMode="External"/><Relationship Id="rId32" Type="http://schemas.openxmlformats.org/officeDocument/2006/relationships/hyperlink" Target="https://nyc-business.nyc.gov/nycbusiness/description/horse-drawn-cab-driver-license" TargetMode="External"/><Relationship Id="rId37" Type="http://schemas.openxmlformats.org/officeDocument/2006/relationships/hyperlink" Target="https://gothamist.com/news/may-has-seen-at-least-two-carriage-horse-crashes" TargetMode="External"/><Relationship Id="rId40" Type="http://schemas.openxmlformats.org/officeDocument/2006/relationships/hyperlink" Target="https://www.nycbar.org/reports/support-for-restrictions-on-the-working-of-carriage-horses-in-extreme-heat/" TargetMode="External"/><Relationship Id="rId45" Type="http://schemas.openxmlformats.org/officeDocument/2006/relationships/hyperlink" Target="https://www.nyc.gov/content/dam/nycgov/mayors-office/downloads/pdf/press-releases/2025/letter-of-necessity-int-967-2024-horse-carriages.pdf" TargetMode="External"/><Relationship Id="rId5" Type="http://schemas.openxmlformats.org/officeDocument/2006/relationships/hyperlink" Target="https://www.carriagehorsesnyc.com/stables" TargetMode="External"/><Relationship Id="rId15" Type="http://schemas.openxmlformats.org/officeDocument/2006/relationships/hyperlink" Target="https://www.msn.com/en-us/news/us/18-year-old-dies-after-horse-carriage-overturns-in-central-park/ar-AA25U3GE?ocid=BingNewsSerp" TargetMode="External"/><Relationship Id="rId23" Type="http://schemas.openxmlformats.org/officeDocument/2006/relationships/hyperlink" Target="https://www.westsiderag.com/2025/08/12/for-the-first-time-central-park-conservancy-calls-for-end-of-horse-drawn-carriages-in-the-park" TargetMode="External"/><Relationship Id="rId28" Type="http://schemas.openxmlformats.org/officeDocument/2006/relationships/hyperlink" Target="https://www.cbsnews.com/philadelphia/news/electric-horseless-carriages-philadelphia-queen-village-animal-advocacy/" TargetMode="External"/><Relationship Id="rId36" Type="http://schemas.openxmlformats.org/officeDocument/2006/relationships/hyperlink" Target="https://comptroller.nyc.gov/reports/audit-report-on-the-licensing-and-oversight-of-the-carriage-horse-industry-by-the-departments-of-health-and-mental-hygiene-and-consumer-affairs/" TargetMode="External"/><Relationship Id="rId10" Type="http://schemas.openxmlformats.org/officeDocument/2006/relationships/hyperlink" Target="https://www.nbcnewyork.com/news/local/nyc-carriage-horse-retired-on-farm-after-collapse-on-midtown-street-union-says-ny-only-spec/3840554/" TargetMode="External"/><Relationship Id="rId19" Type="http://schemas.openxmlformats.org/officeDocument/2006/relationships/hyperlink" Target="https://www.msn.com/en-nz/news/other/carriage-horse-in-central-park-died-after-eating-toxic-plant/ar-AA25NVS6?ocid=BingNewsVerp" TargetMode="External"/><Relationship Id="rId31" Type="http://schemas.openxmlformats.org/officeDocument/2006/relationships/hyperlink" Target="https://nyc-business.nyc.gov/nycbusiness/description/horse-drawn-cab-owner-license" TargetMode="External"/><Relationship Id="rId44" Type="http://schemas.openxmlformats.org/officeDocument/2006/relationships/hyperlink" Target="https://www.nyc.gov/content/dam/nycgov/mayors-office/downloads/pdf/executive-orders/2025/eo-56.pdf" TargetMode="External"/><Relationship Id="rId4" Type="http://schemas.openxmlformats.org/officeDocument/2006/relationships/hyperlink" Target="https://www.twulocal100.org/central-park-horse-carriages" TargetMode="External"/><Relationship Id="rId9" Type="http://schemas.openxmlformats.org/officeDocument/2006/relationships/hyperlink" Target="https://www.fox5ny.com/news/nyc-carriage-horse-controversy-laws-history" TargetMode="External"/><Relationship Id="rId14" Type="http://schemas.openxmlformats.org/officeDocument/2006/relationships/hyperlink" Target="https://www.nytimes.com/2026/06/28/nyregion/central-park-horse-drawn-carriage-rides-resume-as-push-for-ban-intensifies.html%20(last%20visited%20July%201" TargetMode="External"/><Relationship Id="rId22" Type="http://schemas.openxmlformats.org/officeDocument/2006/relationships/hyperlink" Target="https://apnews.com/article/new-york-central-park-horse-carriage-rides-a8ff29a87ef5c41ff87694b24658013c" TargetMode="External"/><Relationship Id="rId27" Type="http://schemas.openxmlformats.org/officeDocument/2006/relationships/hyperlink" Target="https://www.phillyvoice.com/philadelphia-horse-carriage-ride-ban/" TargetMode="External"/><Relationship Id="rId30" Type="http://schemas.openxmlformats.org/officeDocument/2006/relationships/hyperlink" Target="https://readytoworksa.com/" TargetMode="External"/><Relationship Id="rId35" Type="http://schemas.openxmlformats.org/officeDocument/2006/relationships/hyperlink" Target="https://www2.nycbar.org/pdf/report/uploads/20072178-ReportonA.7748-S.5013whichwouldprohibittheoperationofhorsedrawncarriagesinNewYorkCitySeptember2011.pdf" TargetMode="External"/><Relationship Id="rId43" Type="http://schemas.openxmlformats.org/officeDocument/2006/relationships/hyperlink" Target="https://www.nyc.gov/mayors-office/news/2025/09/mayor-adams-calls-on-city-council-to-ban-horse-drawn-carriages--" TargetMode="External"/><Relationship Id="rId8" Type="http://schemas.openxmlformats.org/officeDocument/2006/relationships/hyperlink" Target="https://www.centralparknyc.org/press/statement-from-the-central-park-conservancy-on-most-recent-tragic-horse-carriage-incident-in-the-park" TargetMode="External"/><Relationship Id="rId3" Type="http://schemas.openxmlformats.org/officeDocument/2006/relationships/hyperlink" Target="https://data.cityofnewyork.us/Business/DCWP-Licensed-Vehicles/9vpn-rpgs/about_data" TargetMode="External"/><Relationship Id="rId12" Type="http://schemas.openxmlformats.org/officeDocument/2006/relationships/hyperlink" Target="https://legistar.council.nyc.gov/LegislationDetail.aspx?ID=5725261&amp;GUID=08B70306-1523-4CCB-A8AB-1C506CB58635&amp;Options=ID|Text|&amp;Search=horse" TargetMode="External"/><Relationship Id="rId17" Type="http://schemas.openxmlformats.org/officeDocument/2006/relationships/hyperlink" Target="https://ny1.com/nyc/manhattan/news/2026/06/22/central-park-horse-carriage-rides-set-to-resume-after-safety-training" TargetMode="External"/><Relationship Id="rId25" Type="http://schemas.openxmlformats.org/officeDocument/2006/relationships/hyperlink" Target="https://www.thetimes.com/world/us-world/article/cruel-horse-drawn-carriage-rides-to-be-banned-in-chicago-after-campaign-by-animal-welfare-activists-9jt9k2d76" TargetMode="External"/><Relationship Id="rId33" Type="http://schemas.openxmlformats.org/officeDocument/2006/relationships/hyperlink" Target="https://www.nytimes.com/1982/08/20/nyregion/aspca-and-city-agencies-criticized-over-carriage-horses.html" TargetMode="External"/><Relationship Id="rId38" Type="http://schemas.openxmlformats.org/officeDocument/2006/relationships/hyperlink" Target="https://www.nytimes.com/2017/05/04/nyregion/proponents-of-carriage-horse-ban-say-they-wont-try-to-unseat-de-blasio.html" TargetMode="External"/><Relationship Id="rId46" Type="http://schemas.openxmlformats.org/officeDocument/2006/relationships/hyperlink" Target="https://www.nyc.gov/content/dam/nycgov/mayors-office/downloads/pdf/press-releases/2025/letter-of-necessity-int-967-2024-horse-carriages.pdf" TargetMode="External"/><Relationship Id="rId20" Type="http://schemas.openxmlformats.org/officeDocument/2006/relationships/hyperlink" Target="https://ny1.com/nyc/all-boroughs/politics/2025/08/06/carriage-horse-collapses-and-dies-in-manhattan--reigniting-ban-debate" TargetMode="External"/><Relationship Id="rId41" Type="http://schemas.openxmlformats.org/officeDocument/2006/relationships/hyperlink" Target="https://aldf.org/project/strengthening-protections-for-carriage-horses-forced-to-work-in-extreme-he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059BB-C3D5-44D2-9C1A-6CFBE5460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42</Pages>
  <Words>9974</Words>
  <Characters>56852</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 Ogasawara</dc:creator>
  <cp:keywords/>
  <dc:description/>
  <cp:lastModifiedBy>Pepe, Christopher</cp:lastModifiedBy>
  <cp:revision>8</cp:revision>
  <cp:lastPrinted>2025-12-04T06:22:00Z</cp:lastPrinted>
  <dcterms:created xsi:type="dcterms:W3CDTF">2026-07-10T13:04:00Z</dcterms:created>
  <dcterms:modified xsi:type="dcterms:W3CDTF">2026-07-14T19:36:00Z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13adcf17b01200c8448257aac2ee042e90852179b9ee80be3f801fe22e53c9e8</vt:lpwstr>
  </property>
</Properties>
</file>