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3EED2" w14:textId="77777777" w:rsidR="004868FC" w:rsidRDefault="001614E3">
      <w:pPr>
        <w:jc w:val="right"/>
      </w:pPr>
      <w:r>
        <w:rPr>
          <w:u w:val="single"/>
        </w:rPr>
        <w:t>Committee on Contracts</w:t>
      </w:r>
    </w:p>
    <w:p w14:paraId="722DC07C" w14:textId="77777777" w:rsidR="004868FC" w:rsidRDefault="001614E3">
      <w:pPr>
        <w:jc w:val="right"/>
      </w:pPr>
      <w:r>
        <w:t xml:space="preserve">Alex Paulenoff, </w:t>
      </w:r>
      <w:r>
        <w:rPr>
          <w:i/>
          <w:iCs/>
        </w:rPr>
        <w:t>Senior Legislative Counsel</w:t>
      </w:r>
    </w:p>
    <w:p w14:paraId="603E38DA" w14:textId="77777777" w:rsidR="004868FC" w:rsidRDefault="001614E3">
      <w:pPr>
        <w:jc w:val="right"/>
      </w:pPr>
      <w:r>
        <w:t xml:space="preserve">Johari Frasier, </w:t>
      </w:r>
      <w:r>
        <w:rPr>
          <w:i/>
          <w:iCs/>
        </w:rPr>
        <w:t>Legislative Counsel</w:t>
      </w:r>
    </w:p>
    <w:p w14:paraId="4E17DAF0" w14:textId="77777777" w:rsidR="004868FC" w:rsidRDefault="001614E3">
      <w:pPr>
        <w:jc w:val="right"/>
      </w:pPr>
      <w:r>
        <w:t xml:space="preserve">Alex Yablon, </w:t>
      </w:r>
      <w:r>
        <w:rPr>
          <w:i/>
          <w:iCs/>
        </w:rPr>
        <w:t>Legislative Policy Analyst</w:t>
      </w:r>
    </w:p>
    <w:p w14:paraId="0436F791" w14:textId="77777777" w:rsidR="004868FC" w:rsidRDefault="001614E3">
      <w:pPr>
        <w:jc w:val="right"/>
        <w:rPr>
          <w:i/>
          <w:iCs/>
        </w:rPr>
      </w:pPr>
      <w:r>
        <w:t xml:space="preserve">Owen Kotowski, </w:t>
      </w:r>
      <w:r>
        <w:rPr>
          <w:i/>
          <w:iCs/>
        </w:rPr>
        <w:t>Senior Financial Analyst</w:t>
      </w:r>
    </w:p>
    <w:p w14:paraId="12451940" w14:textId="77777777" w:rsidR="00531531" w:rsidRDefault="00531531">
      <w:pPr>
        <w:jc w:val="right"/>
        <w:rPr>
          <w:i/>
          <w:iCs/>
        </w:rPr>
      </w:pPr>
    </w:p>
    <w:p w14:paraId="44D929E5" w14:textId="77777777" w:rsidR="00531531" w:rsidRDefault="00531531">
      <w:pPr>
        <w:jc w:val="right"/>
        <w:rPr>
          <w:i/>
          <w:iCs/>
        </w:rPr>
      </w:pPr>
    </w:p>
    <w:p w14:paraId="769D7A74" w14:textId="77777777" w:rsidR="00531531" w:rsidRDefault="00531531">
      <w:pPr>
        <w:jc w:val="right"/>
        <w:rPr>
          <w:i/>
          <w:iCs/>
        </w:rPr>
      </w:pPr>
    </w:p>
    <w:p w14:paraId="5E5014CA" w14:textId="77777777" w:rsidR="00531531" w:rsidRDefault="00531531">
      <w:pPr>
        <w:jc w:val="right"/>
      </w:pPr>
    </w:p>
    <w:p w14:paraId="4BC42900" w14:textId="77777777" w:rsidR="004868FC" w:rsidRDefault="001614E3">
      <w:pPr>
        <w:spacing w:before="120" w:after="120"/>
        <w:jc w:val="center"/>
      </w:pPr>
      <w:r>
        <w:rPr>
          <w:noProof/>
        </w:rPr>
        <w:drawing>
          <wp:inline distT="0" distB="0" distL="0" distR="0" wp14:anchorId="6C220F55" wp14:editId="71B31BEC">
            <wp:extent cx="1257300" cy="1362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257300" cy="1362075"/>
                    </a:xfrm>
                    <a:prstGeom prst="rect">
                      <a:avLst/>
                    </a:prstGeom>
                  </pic:spPr>
                </pic:pic>
              </a:graphicData>
            </a:graphic>
          </wp:inline>
        </w:drawing>
      </w:r>
    </w:p>
    <w:p w14:paraId="470463B9" w14:textId="77777777" w:rsidR="00531531" w:rsidRDefault="00531531">
      <w:pPr>
        <w:spacing w:before="120" w:after="120"/>
        <w:jc w:val="center"/>
      </w:pPr>
    </w:p>
    <w:p w14:paraId="3F65CF19" w14:textId="77777777" w:rsidR="004868FC" w:rsidRDefault="001614E3">
      <w:pPr>
        <w:spacing w:after="200"/>
        <w:jc w:val="center"/>
      </w:pPr>
      <w:r>
        <w:rPr>
          <w:b/>
          <w:bCs/>
          <w:u w:val="single"/>
        </w:rPr>
        <w:t>THE COUNCIL OF THE CITY OF NEW YORK</w:t>
      </w:r>
    </w:p>
    <w:p w14:paraId="5C5A5231" w14:textId="77777777" w:rsidR="00531531" w:rsidRDefault="00531531">
      <w:pPr>
        <w:jc w:val="center"/>
        <w:rPr>
          <w:b/>
          <w:bCs/>
          <w:u w:val="single"/>
        </w:rPr>
      </w:pPr>
    </w:p>
    <w:p w14:paraId="3FC6D3B7" w14:textId="0E729211" w:rsidR="004868FC" w:rsidRDefault="001614E3">
      <w:pPr>
        <w:jc w:val="center"/>
      </w:pPr>
      <w:r>
        <w:rPr>
          <w:b/>
          <w:bCs/>
          <w:u w:val="single"/>
        </w:rPr>
        <w:t>COMMITTEE REPORT OF THE GOVERNMENTAL AFFAIRS DIVISION</w:t>
      </w:r>
    </w:p>
    <w:p w14:paraId="49B4E0F5" w14:textId="77777777" w:rsidR="004868FC" w:rsidRDefault="001614E3">
      <w:pPr>
        <w:jc w:val="center"/>
      </w:pPr>
      <w:r>
        <w:rPr>
          <w:i/>
          <w:iCs/>
        </w:rPr>
        <w:t>Andrea Vazquez, Director</w:t>
      </w:r>
    </w:p>
    <w:p w14:paraId="3B26E9CD" w14:textId="676E2BEF" w:rsidR="004868FC" w:rsidRDefault="001614E3">
      <w:pPr>
        <w:spacing w:after="160"/>
        <w:jc w:val="center"/>
      </w:pPr>
      <w:r>
        <w:rPr>
          <w:i/>
          <w:iCs/>
        </w:rPr>
        <w:t>Rachel Cordero, Deputy Director</w:t>
      </w:r>
    </w:p>
    <w:p w14:paraId="18C09B33" w14:textId="77777777" w:rsidR="00531531" w:rsidRDefault="00531531">
      <w:pPr>
        <w:jc w:val="center"/>
        <w:rPr>
          <w:b/>
          <w:bCs/>
          <w:u w:val="single"/>
        </w:rPr>
      </w:pPr>
    </w:p>
    <w:p w14:paraId="5EE42C4C" w14:textId="022D23BC" w:rsidR="004868FC" w:rsidRDefault="001614E3">
      <w:pPr>
        <w:jc w:val="center"/>
      </w:pPr>
      <w:r>
        <w:rPr>
          <w:b/>
          <w:bCs/>
          <w:u w:val="single"/>
        </w:rPr>
        <w:t>COMMITTEE ON CONTRACTS</w:t>
      </w:r>
    </w:p>
    <w:p w14:paraId="72843CBE" w14:textId="77777777" w:rsidR="004868FC" w:rsidRDefault="001614E3">
      <w:pPr>
        <w:spacing w:after="160"/>
        <w:jc w:val="center"/>
      </w:pPr>
      <w:r>
        <w:rPr>
          <w:i/>
          <w:iCs/>
        </w:rPr>
        <w:t>Hon. Lincoln Restler, Chair</w:t>
      </w:r>
    </w:p>
    <w:p w14:paraId="3DC1CE32" w14:textId="77777777" w:rsidR="00531531" w:rsidRDefault="00531531">
      <w:pPr>
        <w:spacing w:after="160"/>
        <w:jc w:val="center"/>
        <w:rPr>
          <w:b/>
          <w:bCs/>
        </w:rPr>
      </w:pPr>
    </w:p>
    <w:p w14:paraId="561B3CC2" w14:textId="300EAAF9" w:rsidR="004868FC" w:rsidRDefault="001614E3">
      <w:pPr>
        <w:spacing w:after="160"/>
        <w:jc w:val="center"/>
        <w:rPr>
          <w:b/>
          <w:bCs/>
        </w:rPr>
      </w:pPr>
      <w:r>
        <w:rPr>
          <w:b/>
          <w:bCs/>
        </w:rPr>
        <w:t>June 17, 2026</w:t>
      </w:r>
    </w:p>
    <w:p w14:paraId="45830B8A" w14:textId="77777777" w:rsidR="007D184C" w:rsidRDefault="007D184C">
      <w:pPr>
        <w:spacing w:after="160"/>
        <w:jc w:val="center"/>
      </w:pPr>
    </w:p>
    <w:p w14:paraId="383F3AFA" w14:textId="77777777" w:rsidR="00531531" w:rsidRDefault="00531531">
      <w:pPr>
        <w:spacing w:after="160"/>
        <w:jc w:val="center"/>
      </w:pPr>
    </w:p>
    <w:p w14:paraId="6DF6C25A" w14:textId="6EE27721" w:rsidR="007D184C" w:rsidRDefault="001614E3">
      <w:pPr>
        <w:spacing w:after="240"/>
        <w:jc w:val="center"/>
        <w:rPr>
          <w:b/>
          <w:bCs/>
          <w:smallCaps/>
        </w:rPr>
      </w:pPr>
      <w:r>
        <w:rPr>
          <w:b/>
          <w:bCs/>
          <w:smallCaps/>
        </w:rPr>
        <w:t>Oversight – Transparency and Accountability in the City’s Use of Master Agreements</w:t>
      </w:r>
    </w:p>
    <w:p w14:paraId="08939549" w14:textId="77777777" w:rsidR="00D67C62" w:rsidRDefault="00D67C62" w:rsidP="007D184C">
      <w:pPr>
        <w:rPr>
          <w:b/>
          <w:bCs/>
          <w:smallCaps/>
        </w:rPr>
        <w:sectPr w:rsidR="00D67C62">
          <w:footerReference w:type="default" r:id="rId9"/>
          <w:pgSz w:w="12240" w:h="15840"/>
          <w:pgMar w:top="1440" w:right="1440" w:bottom="1440" w:left="1440" w:header="708" w:footer="708" w:gutter="0"/>
          <w:cols w:space="720"/>
          <w:docGrid w:linePitch="360"/>
        </w:sectPr>
      </w:pPr>
    </w:p>
    <w:p w14:paraId="2E8AFBC5" w14:textId="77777777" w:rsidR="004868FC" w:rsidRDefault="001614E3" w:rsidP="00D67C62">
      <w:pPr>
        <w:pStyle w:val="RomanHeading1"/>
      </w:pPr>
      <w:r>
        <w:lastRenderedPageBreak/>
        <w:t>INTRODUCTION</w:t>
      </w:r>
    </w:p>
    <w:p w14:paraId="24E97ED3" w14:textId="77777777" w:rsidR="004868FC" w:rsidRDefault="001614E3" w:rsidP="00CA1B39">
      <w:pPr>
        <w:pStyle w:val="Paragraph"/>
      </w:pPr>
      <w:r>
        <w:t xml:space="preserve">On June 17, 2026, the Committee on Contracts, chaired by Council Member Lincoln Restler, will hold an oversight hearing titled </w:t>
      </w:r>
      <w:r>
        <w:rPr>
          <w:i/>
          <w:iCs/>
        </w:rPr>
        <w:t>Oversight – Transparency and Accountability in the City’s Use of Master Agreements</w:t>
      </w:r>
      <w:r>
        <w:t>. Those invited to testify include the Mayor’s Office of Contract Services (“MOCS”), the Office of the New York City Comptroller (the “Comptroller”), the Department of Citywide Administrative Services (“DCAS”), the Office of Technology and Innovation (“OTI”), advocates, and other interested members of the public.</w:t>
      </w:r>
    </w:p>
    <w:p w14:paraId="2CB3185B" w14:textId="77777777" w:rsidR="004868FC" w:rsidRDefault="001614E3" w:rsidP="00CA1B39">
      <w:pPr>
        <w:pStyle w:val="RomanHeading1"/>
      </w:pPr>
      <w:r>
        <w:t>BACKGROUND</w:t>
      </w:r>
    </w:p>
    <w:p w14:paraId="4A37DFFA" w14:textId="6F202ECE" w:rsidR="00C65978" w:rsidRDefault="001614E3" w:rsidP="00CA1B39">
      <w:pPr>
        <w:pStyle w:val="Paragraph"/>
      </w:pPr>
      <w:r>
        <w:t>A Master Agreement is a standing</w:t>
      </w:r>
      <w:r w:rsidR="007D184C">
        <w:t xml:space="preserve"> </w:t>
      </w:r>
      <w:r>
        <w:t xml:space="preserve">contract under which a </w:t>
      </w:r>
      <w:r w:rsidR="00AB0134">
        <w:t xml:space="preserve">New York </w:t>
      </w:r>
      <w:r>
        <w:t>City</w:t>
      </w:r>
      <w:r w:rsidR="00CA1B39">
        <w:t xml:space="preserve"> (“City”)</w:t>
      </w:r>
      <w:r>
        <w:t xml:space="preserve"> agency places individual orders</w:t>
      </w:r>
      <w:r w:rsidR="007D184C">
        <w:t xml:space="preserve"> </w:t>
      </w:r>
      <w:r>
        <w:t xml:space="preserve">with one or more vendors as needs arise, rather </w:t>
      </w:r>
      <w:r w:rsidR="00CE1CD1">
        <w:t xml:space="preserve">than </w:t>
      </w:r>
      <w:r w:rsidR="00CA1B39">
        <w:t>separately soliciting</w:t>
      </w:r>
      <w:r>
        <w:t xml:space="preserve"> each purchase.</w:t>
      </w:r>
      <w:bookmarkStart w:id="0" w:name="_Ref231554637"/>
      <w:r>
        <w:rPr>
          <w:rStyle w:val="FootnoteReference"/>
        </w:rPr>
        <w:footnoteReference w:id="1"/>
      </w:r>
      <w:bookmarkEnd w:id="0"/>
      <w:r>
        <w:t xml:space="preserve"> </w:t>
      </w:r>
      <w:r w:rsidR="005D6B6F">
        <w:t>These orders are made using smaller</w:t>
      </w:r>
      <w:r w:rsidR="00AD486D">
        <w:t xml:space="preserve"> individual contracts known as DO1</w:t>
      </w:r>
      <w:r w:rsidR="008E2496">
        <w:t xml:space="preserve">, </w:t>
      </w:r>
      <w:r w:rsidR="00405387">
        <w:t>direct orders, or delivery orders</w:t>
      </w:r>
      <w:r w:rsidR="00AD486D">
        <w:t>.</w:t>
      </w:r>
      <w:bookmarkStart w:id="1" w:name="_Ref231566801"/>
      <w:r w:rsidR="00AD486D">
        <w:rPr>
          <w:rStyle w:val="FootnoteReference"/>
        </w:rPr>
        <w:footnoteReference w:id="2"/>
      </w:r>
      <w:bookmarkEnd w:id="1"/>
      <w:r w:rsidR="00AD486D">
        <w:t xml:space="preserve"> </w:t>
      </w:r>
      <w:r>
        <w:t>The Procurement Policy Board</w:t>
      </w:r>
      <w:r w:rsidR="000A1913">
        <w:t>, which</w:t>
      </w:r>
      <w:r w:rsidR="007D184C">
        <w:t xml:space="preserve"> </w:t>
      </w:r>
      <w:r>
        <w:t>sets the City’s procurement rules</w:t>
      </w:r>
      <w:r w:rsidR="000A1913">
        <w:t>,</w:t>
      </w:r>
      <w:r w:rsidR="007D184C">
        <w:t xml:space="preserve"> </w:t>
      </w:r>
      <w:r>
        <w:t>authorizes these contracts as multiple award task or purchase order contracts.</w:t>
      </w:r>
      <w:r>
        <w:rPr>
          <w:rStyle w:val="FootnoteReference"/>
        </w:rPr>
        <w:footnoteReference w:id="3"/>
      </w:r>
      <w:r>
        <w:t xml:space="preserve"> </w:t>
      </w:r>
      <w:r w:rsidR="00D52950">
        <w:t>Master agreements are themselves sp</w:t>
      </w:r>
      <w:r w:rsidR="00C65978">
        <w:t xml:space="preserve">lit between MA1s and MMA1s. MA1 Master Agreements </w:t>
      </w:r>
      <w:r w:rsidR="00472E35">
        <w:t xml:space="preserve">are meant to help the City </w:t>
      </w:r>
      <w:r w:rsidR="00C93AE1">
        <w:t>use its buying power to get the best prices possible as it pertains to goods and services.</w:t>
      </w:r>
      <w:r w:rsidR="00C93AE1">
        <w:rPr>
          <w:rStyle w:val="FootnoteReference"/>
        </w:rPr>
        <w:footnoteReference w:id="4"/>
      </w:r>
      <w:r w:rsidR="00BB26A1">
        <w:t xml:space="preserve"> </w:t>
      </w:r>
      <w:r w:rsidR="00F92C65">
        <w:t>These Master Agreements can either be requirements contracts, which require City agencies to use a vendor when purchasing specific goods or services, or citywide contract</w:t>
      </w:r>
      <w:r w:rsidR="00D67C62">
        <w:t>s</w:t>
      </w:r>
      <w:r w:rsidR="00F92C65">
        <w:t>, which allows City agencies to work with a vendor under specific preset terms and conditions.</w:t>
      </w:r>
      <w:r w:rsidR="00F92C65">
        <w:rPr>
          <w:rStyle w:val="FootnoteReference"/>
        </w:rPr>
        <w:footnoteReference w:id="5"/>
      </w:r>
      <w:r w:rsidR="00F92C65">
        <w:t xml:space="preserve"> In contrast, </w:t>
      </w:r>
      <w:r w:rsidR="00BB26A1">
        <w:lastRenderedPageBreak/>
        <w:t>MMA1 Master Agreements</w:t>
      </w:r>
      <w:r w:rsidR="00E85525">
        <w:t xml:space="preserve"> utilize multiple pre-selected vendors and</w:t>
      </w:r>
      <w:r w:rsidR="00BB26A1">
        <w:t xml:space="preserve"> </w:t>
      </w:r>
      <w:r w:rsidR="00C17B5F">
        <w:t xml:space="preserve">create a set of contractual terms that will apply to </w:t>
      </w:r>
      <w:r w:rsidR="00E85525">
        <w:t xml:space="preserve">those </w:t>
      </w:r>
      <w:r w:rsidR="00C17B5F">
        <w:t>vendors</w:t>
      </w:r>
      <w:r w:rsidR="00E85525">
        <w:t xml:space="preserve">, which </w:t>
      </w:r>
      <w:r w:rsidR="00C17B5F">
        <w:t>speed</w:t>
      </w:r>
      <w:r w:rsidR="00E85525">
        <w:t xml:space="preserve">s </w:t>
      </w:r>
      <w:r w:rsidR="00C17B5F">
        <w:t>up the contracting and delivery process at a later time.</w:t>
      </w:r>
      <w:r w:rsidR="00C17B5F">
        <w:rPr>
          <w:rStyle w:val="FootnoteReference"/>
        </w:rPr>
        <w:footnoteReference w:id="6"/>
      </w:r>
      <w:r w:rsidR="003976B8">
        <w:t xml:space="preserve"> Essentially, MA1 contracts reflect the City’s anticipated need for services or goods, while MMA1 contracts plan for a maximum value to split among several parties.</w:t>
      </w:r>
    </w:p>
    <w:p w14:paraId="6DBA1B45" w14:textId="4958D796" w:rsidR="004868FC" w:rsidRDefault="00A8767D" w:rsidP="00CA1B39">
      <w:pPr>
        <w:pStyle w:val="Paragraph"/>
      </w:pPr>
      <w:r>
        <w:t>T</w:t>
      </w:r>
      <w:r w:rsidR="008C6C08">
        <w:t>he competitive process</w:t>
      </w:r>
      <w:r>
        <w:t xml:space="preserve"> for a Master Agreement</w:t>
      </w:r>
      <w:r w:rsidR="008C6C08">
        <w:t xml:space="preserve"> </w:t>
      </w:r>
      <w:r>
        <w:t>occurs</w:t>
      </w:r>
      <w:r w:rsidR="008C6C08">
        <w:t xml:space="preserve"> </w:t>
      </w:r>
      <w:r>
        <w:t>through the award of</w:t>
      </w:r>
      <w:r w:rsidR="008C6C08">
        <w:t xml:space="preserve"> the </w:t>
      </w:r>
      <w:r w:rsidR="00F13CE5">
        <w:t>“</w:t>
      </w:r>
      <w:r w:rsidR="008C6C08">
        <w:t>parent</w:t>
      </w:r>
      <w:r w:rsidR="00F13CE5">
        <w:t>”</w:t>
      </w:r>
      <w:r w:rsidR="008C6C08">
        <w:t xml:space="preserve"> contract. </w:t>
      </w:r>
      <w:r w:rsidR="00E0760F">
        <w:t>Instead of committing</w:t>
      </w:r>
      <w:r w:rsidR="001614E3">
        <w:t xml:space="preserve"> to buy</w:t>
      </w:r>
      <w:r w:rsidR="007655DE">
        <w:t>ing</w:t>
      </w:r>
      <w:r w:rsidR="001614E3">
        <w:t xml:space="preserve"> any minimum quantity</w:t>
      </w:r>
      <w:r w:rsidR="008C6C08">
        <w:t xml:space="preserve"> at the outset, </w:t>
      </w:r>
      <w:r w:rsidR="00E0760F">
        <w:t xml:space="preserve">the City </w:t>
      </w:r>
      <w:r w:rsidR="008C6C08">
        <w:t xml:space="preserve">commits </w:t>
      </w:r>
      <w:r w:rsidR="000A76B4">
        <w:t xml:space="preserve">to a quantity </w:t>
      </w:r>
      <w:r w:rsidR="001614E3">
        <w:t xml:space="preserve">later </w:t>
      </w:r>
      <w:r w:rsidR="000A76B4">
        <w:t>upon placing</w:t>
      </w:r>
      <w:r w:rsidR="001614E3">
        <w:t xml:space="preserve"> each delivery order.</w:t>
      </w:r>
      <w:r w:rsidR="001614E3">
        <w:rPr>
          <w:rStyle w:val="FootnoteReference"/>
        </w:rPr>
        <w:footnoteReference w:id="7"/>
      </w:r>
    </w:p>
    <w:p w14:paraId="72B41129" w14:textId="1B171114" w:rsidR="001769E3" w:rsidRDefault="001614E3" w:rsidP="00CA1B39">
      <w:pPr>
        <w:pStyle w:val="Paragraph"/>
      </w:pPr>
      <w:r>
        <w:t xml:space="preserve">Only </w:t>
      </w:r>
      <w:r w:rsidR="000227FA">
        <w:t>three</w:t>
      </w:r>
      <w:r w:rsidR="022FB323">
        <w:t xml:space="preserve"> agencies, </w:t>
      </w:r>
      <w:r w:rsidR="000227FA">
        <w:t>DCAS</w:t>
      </w:r>
      <w:r>
        <w:t xml:space="preserve">, OTI, and the Department of Education, may enter into new </w:t>
      </w:r>
      <w:r w:rsidR="00C17B5F">
        <w:t xml:space="preserve">MA1 </w:t>
      </w:r>
      <w:r>
        <w:t>Master Agreements, though other agencies may place delivery orders against them.</w:t>
      </w:r>
      <w:r>
        <w:rPr>
          <w:rStyle w:val="FootnoteReference"/>
        </w:rPr>
        <w:footnoteReference w:id="8"/>
      </w:r>
      <w:r>
        <w:t xml:space="preserve"> Agencies generally use Master Agreements </w:t>
      </w:r>
      <w:r w:rsidR="00F239A8">
        <w:t xml:space="preserve">when </w:t>
      </w:r>
      <w:r>
        <w:t>they anticipate a future need but cannot predict the volume or frequency of their purchases.</w:t>
      </w:r>
      <w:r>
        <w:rPr>
          <w:rStyle w:val="FootnoteReference"/>
        </w:rPr>
        <w:footnoteReference w:id="9"/>
      </w:r>
      <w:r>
        <w:t xml:space="preserve"> </w:t>
      </w:r>
      <w:r w:rsidR="00871882">
        <w:t xml:space="preserve">This essentially creates </w:t>
      </w:r>
      <w:r w:rsidR="00FF4881">
        <w:t xml:space="preserve">an on demand contracting process </w:t>
      </w:r>
      <w:r w:rsidR="00242261">
        <w:t>for specific goods or services, creating flexibility for agencies to respond</w:t>
      </w:r>
      <w:r w:rsidR="0038038F">
        <w:t xml:space="preserve"> to different situations, such as emergencies</w:t>
      </w:r>
      <w:r w:rsidR="00A8767D">
        <w:t>,</w:t>
      </w:r>
      <w:r w:rsidR="0038038F">
        <w:t xml:space="preserve"> as seen with the Garner contract discussed below.</w:t>
      </w:r>
      <w:bookmarkStart w:id="2" w:name="_Ref231568749"/>
      <w:r w:rsidR="0038038F">
        <w:rPr>
          <w:rStyle w:val="FootnoteReference"/>
        </w:rPr>
        <w:footnoteReference w:id="10"/>
      </w:r>
      <w:bookmarkEnd w:id="2"/>
      <w:r w:rsidR="00FC7531">
        <w:t xml:space="preserve"> Master Agreements make up </w:t>
      </w:r>
      <w:r w:rsidR="007601FA">
        <w:t>over one sixth</w:t>
      </w:r>
      <w:r w:rsidR="00FC7531">
        <w:t xml:space="preserve"> of the City’s contract spending</w:t>
      </w:r>
      <w:r w:rsidR="00D939E5">
        <w:t xml:space="preserve"> over the last four years</w:t>
      </w:r>
      <w:r w:rsidR="007601FA">
        <w:t>.</w:t>
      </w:r>
      <w:r w:rsidR="007601FA">
        <w:rPr>
          <w:rStyle w:val="FootnoteReference"/>
        </w:rPr>
        <w:footnoteReference w:id="11"/>
      </w:r>
    </w:p>
    <w:p w14:paraId="1D609FF8" w14:textId="48C420FD" w:rsidR="00227F3A" w:rsidRDefault="0029584A" w:rsidP="00CA1B39">
      <w:pPr>
        <w:pStyle w:val="Paragraph"/>
      </w:pPr>
      <w:r>
        <w:t xml:space="preserve">Direct </w:t>
      </w:r>
      <w:r w:rsidR="00A8767D">
        <w:t>o</w:t>
      </w:r>
      <w:r>
        <w:t xml:space="preserve">rders </w:t>
      </w:r>
      <w:r w:rsidR="008C6C08">
        <w:t>are not separately submitted for registration</w:t>
      </w:r>
      <w:r w:rsidR="001769E3">
        <w:t>. E</w:t>
      </w:r>
      <w:r w:rsidR="001614E3">
        <w:t xml:space="preserve">ach </w:t>
      </w:r>
      <w:r w:rsidR="00A8767D">
        <w:t xml:space="preserve">direct order </w:t>
      </w:r>
      <w:r w:rsidR="008A6E93">
        <w:t>or delivery order</w:t>
      </w:r>
      <w:r w:rsidR="001614E3">
        <w:t xml:space="preserve"> is </w:t>
      </w:r>
      <w:r w:rsidR="001769E3">
        <w:t>considered the “child” of a</w:t>
      </w:r>
      <w:r w:rsidR="001614E3">
        <w:t xml:space="preserve"> </w:t>
      </w:r>
      <w:r w:rsidR="0005478E">
        <w:t>“</w:t>
      </w:r>
      <w:r w:rsidR="001614E3">
        <w:t>parent</w:t>
      </w:r>
      <w:r w:rsidR="0005478E">
        <w:t>”</w:t>
      </w:r>
      <w:r w:rsidR="001614E3">
        <w:t xml:space="preserve"> </w:t>
      </w:r>
      <w:r w:rsidR="0005478E">
        <w:t>Master Agreement</w:t>
      </w:r>
      <w:r w:rsidR="00E23A1C">
        <w:t>.</w:t>
      </w:r>
      <w:r w:rsidR="00E23A1C">
        <w:rPr>
          <w:rStyle w:val="FootnoteReference"/>
        </w:rPr>
        <w:footnoteReference w:id="12"/>
      </w:r>
      <w:r w:rsidR="0005478E">
        <w:t xml:space="preserve"> </w:t>
      </w:r>
      <w:r w:rsidR="007536C6">
        <w:t xml:space="preserve">Because </w:t>
      </w:r>
      <w:r w:rsidR="001614E3">
        <w:t>that</w:t>
      </w:r>
      <w:r w:rsidR="0005478E">
        <w:t xml:space="preserve"> contract has already been</w:t>
      </w:r>
      <w:r w:rsidR="006044A9">
        <w:t xml:space="preserve"> registered by</w:t>
      </w:r>
      <w:r w:rsidR="001614E3">
        <w:t xml:space="preserve"> the Comptroller</w:t>
      </w:r>
      <w:r w:rsidR="007536C6">
        <w:t xml:space="preserve">, the delivery order </w:t>
      </w:r>
      <w:r w:rsidR="00D7550E">
        <w:t xml:space="preserve">does not </w:t>
      </w:r>
      <w:r w:rsidR="00227F3A">
        <w:t xml:space="preserve">need </w:t>
      </w:r>
      <w:r w:rsidR="00D7550E">
        <w:t xml:space="preserve">to be </w:t>
      </w:r>
      <w:r w:rsidR="00227F3A">
        <w:t>registered</w:t>
      </w:r>
      <w:r w:rsidR="00D7550E">
        <w:t xml:space="preserve"> separately</w:t>
      </w:r>
      <w:r w:rsidR="001614E3">
        <w:t>.</w:t>
      </w:r>
      <w:r w:rsidR="001614E3">
        <w:rPr>
          <w:rStyle w:val="FootnoteReference"/>
        </w:rPr>
        <w:footnoteReference w:id="13"/>
      </w:r>
      <w:r w:rsidR="00AE63F1">
        <w:t xml:space="preserve"> </w:t>
      </w:r>
      <w:r w:rsidR="006C0DDC">
        <w:t>By contrast, t</w:t>
      </w:r>
      <w:r w:rsidR="00AE63F1">
        <w:t xml:space="preserve">he utilization of a MMA1 runs through task orders, which the Comptroller registers </w:t>
      </w:r>
      <w:r w:rsidR="00AE63F1">
        <w:lastRenderedPageBreak/>
        <w:t>individually.</w:t>
      </w:r>
      <w:r w:rsidR="00D7550E">
        <w:rPr>
          <w:rStyle w:val="FootnoteReference"/>
        </w:rPr>
        <w:footnoteReference w:id="14"/>
      </w:r>
      <w:r w:rsidR="00AE63F1">
        <w:t xml:space="preserve"> </w:t>
      </w:r>
      <w:r w:rsidR="000A7C91">
        <w:t>Since MMA1s still need the Comptroller to register those task orders, the focus of this analysis will be predominantly on MA1 Master Agreements.</w:t>
      </w:r>
    </w:p>
    <w:p w14:paraId="17B51975" w14:textId="723E5CEE" w:rsidR="004868FC" w:rsidRDefault="001614E3" w:rsidP="00CA1B39">
      <w:pPr>
        <w:pStyle w:val="Paragraph"/>
      </w:pPr>
      <w:r>
        <w:t xml:space="preserve">In November 2024, the Procurement Policy Board extended the maximum term of </w:t>
      </w:r>
      <w:r w:rsidR="00C05E39">
        <w:t>a Master Agreement</w:t>
      </w:r>
      <w:r>
        <w:t xml:space="preserve"> from three years to five years, </w:t>
      </w:r>
      <w:r w:rsidR="00561B4E">
        <w:t>allowing</w:t>
      </w:r>
      <w:r>
        <w:t xml:space="preserve"> a single Master Agreement </w:t>
      </w:r>
      <w:r w:rsidR="00561B4E">
        <w:t xml:space="preserve">to </w:t>
      </w:r>
      <w:r w:rsidR="008C6C08">
        <w:t>cover</w:t>
      </w:r>
      <w:r>
        <w:t xml:space="preserve"> a longer period of spending</w:t>
      </w:r>
      <w:r w:rsidR="008C6C08">
        <w:t xml:space="preserve"> by the City</w:t>
      </w:r>
      <w:r>
        <w:t>.</w:t>
      </w:r>
      <w:r>
        <w:rPr>
          <w:rStyle w:val="FootnoteReference"/>
        </w:rPr>
        <w:footnoteReference w:id="15"/>
      </w:r>
    </w:p>
    <w:p w14:paraId="2F0248C1" w14:textId="13633CB9" w:rsidR="00CA3E8C" w:rsidRPr="00EA2269" w:rsidRDefault="00CA3E8C" w:rsidP="00DE1ACD">
      <w:pPr>
        <w:pStyle w:val="RomanHeading1"/>
        <w:rPr>
          <w:caps/>
        </w:rPr>
      </w:pPr>
      <w:r w:rsidRPr="00EA2269">
        <w:rPr>
          <w:caps/>
        </w:rPr>
        <w:t>Issues with the City’s Use of Master Agreements</w:t>
      </w:r>
    </w:p>
    <w:p w14:paraId="199E6CDB" w14:textId="77777777" w:rsidR="004868FC" w:rsidRDefault="001614E3" w:rsidP="00DE1ACD">
      <w:pPr>
        <w:pStyle w:val="RomanHeading2"/>
      </w:pPr>
      <w:r>
        <w:t>The Comptroller’s May 2026 Report on Master Agreements</w:t>
      </w:r>
    </w:p>
    <w:p w14:paraId="6DC2CEBE" w14:textId="7C4C3854" w:rsidR="004868FC" w:rsidRDefault="001614E3" w:rsidP="00F92C65">
      <w:pPr>
        <w:pStyle w:val="Paragraph"/>
      </w:pPr>
      <w:r>
        <w:t xml:space="preserve">On May 6, 2026, Comptroller Mark Levine issued a report titled </w:t>
      </w:r>
      <w:r>
        <w:rPr>
          <w:i/>
          <w:iCs/>
        </w:rPr>
        <w:t>The Monty Hall Contracts: Unchecked Spending Across the City’s Master Agreements</w:t>
      </w:r>
      <w:r>
        <w:t>.</w:t>
      </w:r>
      <w:bookmarkStart w:id="3" w:name="_Ref231566908"/>
      <w:r>
        <w:rPr>
          <w:rStyle w:val="FootnoteReference"/>
        </w:rPr>
        <w:footnoteReference w:id="16"/>
      </w:r>
      <w:bookmarkEnd w:id="3"/>
      <w:r>
        <w:t xml:space="preserve"> The report found that mayoral agencies spent more than $8.8 billion through delivery orders against Master Agreements between Fiscal Year 2022 and Fiscal Year 2025, averaging more than 28,000 delivery orders each year.</w:t>
      </w:r>
      <w:r>
        <w:rPr>
          <w:rStyle w:val="FootnoteReference"/>
        </w:rPr>
        <w:footnoteReference w:id="17"/>
      </w:r>
      <w:r>
        <w:t xml:space="preserve"> It also found that most delivery order records show the amount the City paid but not what was purchased, from which vendor, or in what quantity.</w:t>
      </w:r>
      <w:r>
        <w:rPr>
          <w:rStyle w:val="FootnoteReference"/>
        </w:rPr>
        <w:footnoteReference w:id="18"/>
      </w:r>
    </w:p>
    <w:p w14:paraId="65825046" w14:textId="4C590DA3" w:rsidR="004868FC" w:rsidRDefault="001614E3" w:rsidP="00F92C65">
      <w:pPr>
        <w:pStyle w:val="Paragraph"/>
      </w:pPr>
      <w:r>
        <w:t xml:space="preserve">The report further found that the values agencies estimate when they register a Master Agreement bear little relationship to what the City ultimately spends, and that agencies overspent the combined value of </w:t>
      </w:r>
      <w:r w:rsidR="00C2081F">
        <w:t xml:space="preserve">their </w:t>
      </w:r>
      <w:r>
        <w:t>Master Agreements by more than $1.6 billion.</w:t>
      </w:r>
      <w:r>
        <w:rPr>
          <w:rStyle w:val="FootnoteReference"/>
        </w:rPr>
        <w:footnoteReference w:id="19"/>
      </w:r>
      <w:r>
        <w:t xml:space="preserve"> The report set out a </w:t>
      </w:r>
      <w:r>
        <w:lastRenderedPageBreak/>
        <w:t>number of additional findings concerning the accuracy of agency estimates and the limited public record of individual purchases.</w:t>
      </w:r>
      <w:r>
        <w:rPr>
          <w:rStyle w:val="FootnoteReference"/>
        </w:rPr>
        <w:footnoteReference w:id="20"/>
      </w:r>
    </w:p>
    <w:p w14:paraId="4D24B478" w14:textId="02BF5B46" w:rsidR="00CA3E8C" w:rsidRDefault="00CA3E8C" w:rsidP="00DE1ACD">
      <w:pPr>
        <w:pStyle w:val="RomanHeading2"/>
      </w:pPr>
      <w:r>
        <w:t>Examples of Master Agreement Spending</w:t>
      </w:r>
      <w:r w:rsidR="00A8767D">
        <w:t xml:space="preserve"> from the Comptroller’s Report</w:t>
      </w:r>
    </w:p>
    <w:p w14:paraId="534E7401" w14:textId="6751EE02" w:rsidR="004868FC" w:rsidRDefault="001614E3" w:rsidP="00DE1ACD">
      <w:pPr>
        <w:pStyle w:val="RomanHeading3"/>
      </w:pPr>
      <w:r>
        <w:t>The Garner Environmental Services Master Agreement</w:t>
      </w:r>
    </w:p>
    <w:p w14:paraId="44F20C0C" w14:textId="1A1D9680" w:rsidR="009572C8" w:rsidRDefault="001614E3">
      <w:pPr>
        <w:pStyle w:val="Paragraph"/>
      </w:pPr>
      <w:r>
        <w:t>DCAS registered an emergency disaster-response Master Agreement with Garner Environmental Services</w:t>
      </w:r>
      <w:r w:rsidR="00F41579">
        <w:t>, Inc. (“Garner”), a Texas-based corporation,</w:t>
      </w:r>
      <w:r>
        <w:t xml:space="preserve"> in F</w:t>
      </w:r>
      <w:r w:rsidR="00F41579">
        <w:t xml:space="preserve">iscal </w:t>
      </w:r>
      <w:r>
        <w:t>Y</w:t>
      </w:r>
      <w:r w:rsidR="00F41579">
        <w:t>ear 20</w:t>
      </w:r>
      <w:r>
        <w:t>23 at an estimated value of approximately $30 million.</w:t>
      </w:r>
      <w:r>
        <w:rPr>
          <w:rStyle w:val="FootnoteReference"/>
        </w:rPr>
        <w:footnoteReference w:id="21"/>
      </w:r>
      <w:r>
        <w:t xml:space="preserve"> </w:t>
      </w:r>
      <w:r w:rsidR="00F41579">
        <w:t>DCAS had previously contracted with Garner, and in September of 2022 agencies began using the preexisting MA1 agreement as part of their response to the asylum-seeker crisis.</w:t>
      </w:r>
      <w:r w:rsidR="00F41579">
        <w:rPr>
          <w:rStyle w:val="FootnoteReference"/>
        </w:rPr>
        <w:footnoteReference w:id="22"/>
      </w:r>
      <w:r w:rsidR="00F41579">
        <w:t xml:space="preserve"> </w:t>
      </w:r>
      <w:r w:rsidR="009572C8">
        <w:t xml:space="preserve">By the time of the Comptroller’s 2024 audit of the City’s emergency procurements for asylum seekers, </w:t>
      </w:r>
      <w:r w:rsidR="00A8767D">
        <w:t xml:space="preserve">across 70 </w:t>
      </w:r>
      <w:r w:rsidR="009572C8">
        <w:t>DCAS and New York City Emergency Management (“NYCEM”) delivery orders, the City had spent roughly $24.6 million of the budgeted $30 million.</w:t>
      </w:r>
      <w:r w:rsidR="009572C8">
        <w:rPr>
          <w:rStyle w:val="FootnoteReference"/>
        </w:rPr>
        <w:footnoteReference w:id="23"/>
      </w:r>
    </w:p>
    <w:p w14:paraId="190B86A3" w14:textId="40B091D1" w:rsidR="00442627" w:rsidRDefault="009572C8">
      <w:pPr>
        <w:pStyle w:val="Paragraph"/>
      </w:pPr>
      <w:r>
        <w:t>Since the inception of the Fiscal Year 2023 Garner MA1 contract, a</w:t>
      </w:r>
      <w:r w:rsidR="001614E3">
        <w:t xml:space="preserve">gencies have placed 103 delivery orders against that contract worth more than $675 million, </w:t>
      </w:r>
      <w:r>
        <w:t xml:space="preserve">over </w:t>
      </w:r>
      <w:r w:rsidR="001614E3">
        <w:t>2,223</w:t>
      </w:r>
      <w:r w:rsidR="005B0781">
        <w:t xml:space="preserve"> percent </w:t>
      </w:r>
      <w:r w:rsidR="001614E3">
        <w:t>the registered estimate.</w:t>
      </w:r>
      <w:r w:rsidR="001614E3">
        <w:rPr>
          <w:rStyle w:val="FootnoteReference"/>
        </w:rPr>
        <w:footnoteReference w:id="24"/>
      </w:r>
      <w:r w:rsidR="001614E3">
        <w:t xml:space="preserve"> </w:t>
      </w:r>
      <w:r>
        <w:t>It is worth noting that sometimes these services have radically different costs depending on the agency</w:t>
      </w:r>
      <w:r w:rsidR="00A8767D">
        <w:t>, even for the same service</w:t>
      </w:r>
      <w:r>
        <w:t>. For example, when DCAS procured security services under this contract</w:t>
      </w:r>
      <w:r w:rsidR="00411A5A">
        <w:t>, the security guards were paid $117.25 an hour.</w:t>
      </w:r>
      <w:r w:rsidR="00411A5A">
        <w:rPr>
          <w:rStyle w:val="FootnoteReference"/>
        </w:rPr>
        <w:footnoteReference w:id="25"/>
      </w:r>
      <w:r w:rsidR="00411A5A">
        <w:t xml:space="preserve"> NYCEM, procuring </w:t>
      </w:r>
      <w:r w:rsidR="00411A5A">
        <w:lastRenderedPageBreak/>
        <w:t xml:space="preserve">the services of people </w:t>
      </w:r>
      <w:proofErr w:type="gramStart"/>
      <w:r w:rsidR="00411A5A">
        <w:t>with</w:t>
      </w:r>
      <w:proofErr w:type="gramEnd"/>
      <w:r w:rsidR="00411A5A">
        <w:t xml:space="preserve"> the same title for the same job, had a delivery order that only paid $78.99 per hour.</w:t>
      </w:r>
      <w:r w:rsidR="00411A5A">
        <w:rPr>
          <w:rStyle w:val="FootnoteReference"/>
        </w:rPr>
        <w:footnoteReference w:id="26"/>
      </w:r>
    </w:p>
    <w:p w14:paraId="03C53DC2" w14:textId="12C22590" w:rsidR="004868FC" w:rsidRDefault="001614E3" w:rsidP="00DE1ACD">
      <w:pPr>
        <w:pStyle w:val="Paragraph"/>
      </w:pPr>
      <w:r>
        <w:t>The</w:t>
      </w:r>
      <w:r w:rsidR="00442627">
        <w:t xml:space="preserve"> Garner MA1</w:t>
      </w:r>
      <w:r>
        <w:t xml:space="preserve"> contract originated as an intergovernmental purchase that the City entered through the federal </w:t>
      </w:r>
      <w:r w:rsidR="008C6C08">
        <w:t>government</w:t>
      </w:r>
      <w:r w:rsidR="00442627">
        <w:t>.</w:t>
      </w:r>
      <w:r w:rsidR="00442627">
        <w:rPr>
          <w:rStyle w:val="FootnoteReference"/>
        </w:rPr>
        <w:footnoteReference w:id="27"/>
      </w:r>
      <w:r w:rsidR="00442627">
        <w:t xml:space="preserve"> I</w:t>
      </w:r>
      <w:r>
        <w:t>t covers a broad range of emergency goods and services, from power and sheltering to catering and mobile medical facilities.</w:t>
      </w:r>
      <w:r>
        <w:rPr>
          <w:rStyle w:val="FootnoteReference"/>
        </w:rPr>
        <w:footnoteReference w:id="28"/>
      </w:r>
      <w:r w:rsidR="00442627">
        <w:t xml:space="preserve"> However, there is a lack of public data related to the goods and services purchased, with what data we do have being in response to a prior audit by the Comptroller.</w:t>
      </w:r>
      <w:r w:rsidR="00442627">
        <w:rPr>
          <w:rStyle w:val="FootnoteReference"/>
        </w:rPr>
        <w:footnoteReference w:id="29"/>
      </w:r>
    </w:p>
    <w:p w14:paraId="40DEE476" w14:textId="77777777" w:rsidR="004868FC" w:rsidRDefault="001614E3" w:rsidP="00CA3E8C">
      <w:pPr>
        <w:pStyle w:val="RomanHeading3"/>
      </w:pPr>
      <w:r>
        <w:t>Information Technology Contracts</w:t>
      </w:r>
    </w:p>
    <w:p w14:paraId="41EF6A6B" w14:textId="50D6D7DD" w:rsidR="004868FC" w:rsidRDefault="001614E3" w:rsidP="00CA3E8C">
      <w:pPr>
        <w:pStyle w:val="Paragraph"/>
      </w:pPr>
      <w:r>
        <w:t>The report identified OTI</w:t>
      </w:r>
      <w:r w:rsidR="0096457A">
        <w:t>’s technology purchasing</w:t>
      </w:r>
      <w:r>
        <w:t xml:space="preserve"> as the area where the missing </w:t>
      </w:r>
      <w:r w:rsidR="00CA3E8C">
        <w:t>details matter</w:t>
      </w:r>
      <w:r>
        <w:t xml:space="preserve"> most. The City overspent </w:t>
      </w:r>
      <w:r w:rsidR="008C6C08">
        <w:t xml:space="preserve">by </w:t>
      </w:r>
      <w:r w:rsidR="007D184C">
        <w:t xml:space="preserve">roughly $2 billion on </w:t>
      </w:r>
      <w:r>
        <w:t xml:space="preserve">one </w:t>
      </w:r>
      <w:r w:rsidR="00CA3E8C">
        <w:t xml:space="preserve">citywide </w:t>
      </w:r>
      <w:r>
        <w:t>information technology contract</w:t>
      </w:r>
      <w:r w:rsidR="007D184C">
        <w:t xml:space="preserve"> with </w:t>
      </w:r>
      <w:r>
        <w:t>CDW Government LLC</w:t>
      </w:r>
      <w:r w:rsidR="007D184C">
        <w:t>.</w:t>
      </w:r>
      <w:r w:rsidR="007D184C">
        <w:rPr>
          <w:rStyle w:val="FootnoteReference"/>
        </w:rPr>
        <w:footnoteReference w:id="30"/>
      </w:r>
      <w:r>
        <w:t xml:space="preserve"> </w:t>
      </w:r>
      <w:r w:rsidR="007D184C">
        <w:t>T</w:t>
      </w:r>
      <w:r>
        <w:t>hat single contract covers more than 740 manufacturers and service providers, yet the delivery order records reveal none of what was purchased or from whom.</w:t>
      </w:r>
      <w:r>
        <w:rPr>
          <w:rStyle w:val="FootnoteReference"/>
        </w:rPr>
        <w:footnoteReference w:id="31"/>
      </w:r>
      <w:r w:rsidR="00083C0A">
        <w:t xml:space="preserve"> CDW reported a </w:t>
      </w:r>
      <w:r w:rsidR="00D67C62">
        <w:t>5.9</w:t>
      </w:r>
      <w:r w:rsidR="005B0781">
        <w:t xml:space="preserve"> percent</w:t>
      </w:r>
      <w:r w:rsidR="00083C0A">
        <w:t xml:space="preserve"> growth in profits last year, making roughly $4.87 billion dollars.</w:t>
      </w:r>
      <w:r w:rsidR="00083C0A">
        <w:rPr>
          <w:rStyle w:val="FootnoteReference"/>
        </w:rPr>
        <w:footnoteReference w:id="32"/>
      </w:r>
      <w:r>
        <w:t xml:space="preserve"> </w:t>
      </w:r>
      <w:r w:rsidR="00FB7C05">
        <w:t>In Fiscal Year 2025 the City paid over $500 million to CDW under it</w:t>
      </w:r>
      <w:r w:rsidR="008F218A">
        <w:t>s</w:t>
      </w:r>
      <w:r w:rsidR="00FB7C05">
        <w:t xml:space="preserve"> contract, and this fiscal year it has already paid over $600 million, suggesting spending has only increased and that CDW’s profits are potentially driven in a non-negligible part by its dealings with the City.</w:t>
      </w:r>
      <w:r w:rsidR="00FB7C05">
        <w:rPr>
          <w:rStyle w:val="FootnoteReference"/>
        </w:rPr>
        <w:footnoteReference w:id="33"/>
      </w:r>
    </w:p>
    <w:p w14:paraId="2332A192" w14:textId="34BBE516" w:rsidR="00AC60CB" w:rsidRDefault="005C29DE" w:rsidP="00CA3E8C">
      <w:pPr>
        <w:pStyle w:val="Paragraph"/>
      </w:pPr>
      <w:r>
        <w:lastRenderedPageBreak/>
        <w:t xml:space="preserve">The largest purchase </w:t>
      </w:r>
      <w:r w:rsidR="00F4642E">
        <w:t xml:space="preserve">from CDW in the past fiscal year was for $142 million worth of </w:t>
      </w:r>
      <w:r w:rsidR="00377214">
        <w:t xml:space="preserve">Chromebook laptops </w:t>
      </w:r>
      <w:r w:rsidR="00067119">
        <w:t xml:space="preserve">with </w:t>
      </w:r>
      <w:r w:rsidR="00163DF0">
        <w:t>cellular service</w:t>
      </w:r>
      <w:r w:rsidR="00877C55">
        <w:t xml:space="preserve"> for public school students</w:t>
      </w:r>
      <w:r w:rsidR="00AC60CB">
        <w:t>.</w:t>
      </w:r>
      <w:r w:rsidR="00163DF0">
        <w:rPr>
          <w:rStyle w:val="FootnoteReference"/>
        </w:rPr>
        <w:footnoteReference w:id="34"/>
      </w:r>
      <w:r w:rsidR="00163DF0">
        <w:t xml:space="preserve"> </w:t>
      </w:r>
      <w:r w:rsidR="00AC60CB">
        <w:t xml:space="preserve">This </w:t>
      </w:r>
      <w:r w:rsidR="00F7555D">
        <w:t>purchase</w:t>
      </w:r>
      <w:r w:rsidR="004914C6">
        <w:t xml:space="preserve"> has been </w:t>
      </w:r>
      <w:r w:rsidR="005E50FE">
        <w:t>criticized as unn</w:t>
      </w:r>
      <w:r w:rsidR="00D86BCE">
        <w:t xml:space="preserve">ecessarily large </w:t>
      </w:r>
      <w:r w:rsidR="00877C55">
        <w:t xml:space="preserve">and expensive </w:t>
      </w:r>
      <w:r w:rsidR="00D86BCE">
        <w:t>since the vast majority of</w:t>
      </w:r>
      <w:r w:rsidR="00877C55">
        <w:t xml:space="preserve"> </w:t>
      </w:r>
      <w:r w:rsidR="006E56A3">
        <w:t>the city’s public school students</w:t>
      </w:r>
      <w:r w:rsidR="008C4BD9">
        <w:t xml:space="preserve"> already</w:t>
      </w:r>
      <w:r w:rsidR="006E56A3">
        <w:t xml:space="preserve"> have secure access to </w:t>
      </w:r>
      <w:r w:rsidR="00915C1C">
        <w:t xml:space="preserve">the internet through </w:t>
      </w:r>
      <w:r w:rsidR="006E56A3">
        <w:t>Wi</w:t>
      </w:r>
      <w:r w:rsidR="00915C1C">
        <w:t>-</w:t>
      </w:r>
      <w:r w:rsidR="006E56A3">
        <w:t>Fi</w:t>
      </w:r>
      <w:r w:rsidR="00AC60CB">
        <w:t>.</w:t>
      </w:r>
      <w:r w:rsidR="00AC60CB">
        <w:rPr>
          <w:rStyle w:val="FootnoteReference"/>
        </w:rPr>
        <w:footnoteReference w:id="35"/>
      </w:r>
      <w:r w:rsidR="009D5131">
        <w:t xml:space="preserve"> </w:t>
      </w:r>
      <w:r w:rsidR="002C5750">
        <w:t>O</w:t>
      </w:r>
      <w:r w:rsidR="00E10F80">
        <w:t xml:space="preserve">nly a fraction of </w:t>
      </w:r>
      <w:r w:rsidR="00C72CE5">
        <w:t xml:space="preserve">the </w:t>
      </w:r>
      <w:r w:rsidR="0073623B">
        <w:t xml:space="preserve">laptops </w:t>
      </w:r>
      <w:r w:rsidR="002C5750">
        <w:t xml:space="preserve">procured under this contract are </w:t>
      </w:r>
      <w:r w:rsidR="0073623B">
        <w:t>actually distributed to students</w:t>
      </w:r>
      <w:r w:rsidR="008C4BD9">
        <w:t>.</w:t>
      </w:r>
      <w:r w:rsidR="00F75B8B">
        <w:rPr>
          <w:rStyle w:val="FootnoteReference"/>
        </w:rPr>
        <w:footnoteReference w:id="36"/>
      </w:r>
      <w:r w:rsidR="002C5750">
        <w:t xml:space="preserve"> As late as March 2026 the Mamdani Administration was still paying for these laptops.</w:t>
      </w:r>
      <w:r w:rsidR="002C5750">
        <w:rPr>
          <w:rStyle w:val="FootnoteReference"/>
        </w:rPr>
        <w:footnoteReference w:id="37"/>
      </w:r>
    </w:p>
    <w:p w14:paraId="33781AC1" w14:textId="12D403B3" w:rsidR="005C29DE" w:rsidRDefault="00AC60CB" w:rsidP="00CA3E8C">
      <w:pPr>
        <w:pStyle w:val="Paragraph"/>
      </w:pPr>
      <w:r>
        <w:t>New citywide information technology contracts with CDW and SHI International Corp. are now moving through procurement, with a combined estimated value of approximately $2 billion.</w:t>
      </w:r>
      <w:r>
        <w:rPr>
          <w:rStyle w:val="FootnoteReference"/>
        </w:rPr>
        <w:footnoteReference w:id="38"/>
      </w:r>
      <w:r>
        <w:t xml:space="preserve"> The Mamdani administration has said that OTI will renegotiate its technology contracts to find savings as part of a citywide savings plan announced in March 2026.</w:t>
      </w:r>
      <w:r>
        <w:rPr>
          <w:rStyle w:val="FootnoteReference"/>
        </w:rPr>
        <w:footnoteReference w:id="39"/>
      </w:r>
    </w:p>
    <w:p w14:paraId="18D265C3" w14:textId="77777777" w:rsidR="004868FC" w:rsidRDefault="001614E3" w:rsidP="00CA3E8C">
      <w:pPr>
        <w:pStyle w:val="RomanHeading2"/>
      </w:pPr>
      <w:r>
        <w:t>Accelerated Procurements and Reduced Oversight</w:t>
      </w:r>
    </w:p>
    <w:p w14:paraId="5A96A9FA" w14:textId="736AB4E3" w:rsidR="004868FC" w:rsidRDefault="001614E3" w:rsidP="00CA3E8C">
      <w:pPr>
        <w:pStyle w:val="Paragraph"/>
      </w:pPr>
      <w:r>
        <w:t>A portion of Master Agreement spending receives even less oversight before registration</w:t>
      </w:r>
      <w:r w:rsidR="00915C1C">
        <w:t>—DCAS “Accelerated Procurements</w:t>
      </w:r>
      <w:r>
        <w:t>.</w:t>
      </w:r>
      <w:r w:rsidR="00915C1C">
        <w:t>”</w:t>
      </w:r>
      <w:r>
        <w:t xml:space="preserve"> DCAS uses Accelerated Procurement</w:t>
      </w:r>
      <w:r w:rsidR="007D184C">
        <w:t>s</w:t>
      </w:r>
      <w:r>
        <w:t xml:space="preserve"> to buy commodities quickly when they are at risk of short supply or subject to rapid price swings.</w:t>
      </w:r>
      <w:r>
        <w:rPr>
          <w:rStyle w:val="FootnoteReference"/>
        </w:rPr>
        <w:footnoteReference w:id="40"/>
      </w:r>
      <w:r>
        <w:t xml:space="preserve"> These purchases are exempt from the Comptroller’s registration review and from the public notice and comment that applies to many other contracts, though </w:t>
      </w:r>
      <w:r w:rsidR="007D184C">
        <w:t>DCAS</w:t>
      </w:r>
      <w:r>
        <w:t xml:space="preserve"> must later submit them to the Comptroller for an audit of why </w:t>
      </w:r>
      <w:r w:rsidR="008C6C08">
        <w:t xml:space="preserve">the </w:t>
      </w:r>
      <w:r>
        <w:t xml:space="preserve">accelerated </w:t>
      </w:r>
      <w:r w:rsidR="008C6C08">
        <w:t xml:space="preserve">procurement method </w:t>
      </w:r>
      <w:r>
        <w:t>was used.</w:t>
      </w:r>
      <w:r>
        <w:rPr>
          <w:rStyle w:val="FootnoteReference"/>
        </w:rPr>
        <w:footnoteReference w:id="41"/>
      </w:r>
      <w:r>
        <w:t xml:space="preserve"> The report found that the City </w:t>
      </w:r>
      <w:r>
        <w:lastRenderedPageBreak/>
        <w:t>spent more than $625 million on 346 Accelerated Procurement contracts since F</w:t>
      </w:r>
      <w:r w:rsidR="008F218A">
        <w:t xml:space="preserve">iscal </w:t>
      </w:r>
      <w:r>
        <w:t>Y</w:t>
      </w:r>
      <w:r w:rsidR="008F218A">
        <w:t>ear 20</w:t>
      </w:r>
      <w:r>
        <w:t>22, none of which the Comptroller reviewed.</w:t>
      </w:r>
      <w:r>
        <w:rPr>
          <w:rStyle w:val="FootnoteReference"/>
        </w:rPr>
        <w:footnoteReference w:id="42"/>
      </w:r>
    </w:p>
    <w:p w14:paraId="6103C83D" w14:textId="4DA286F4" w:rsidR="004868FC" w:rsidRDefault="001614E3" w:rsidP="00CA3E8C">
      <w:pPr>
        <w:pStyle w:val="Paragraph"/>
      </w:pPr>
      <w:r>
        <w:t xml:space="preserve">The </w:t>
      </w:r>
      <w:r w:rsidR="008C6C08">
        <w:t xml:space="preserve">Comptroller’s </w:t>
      </w:r>
      <w:r>
        <w:t xml:space="preserve">report illustrated the risk of this reduced oversight with </w:t>
      </w:r>
      <w:r w:rsidR="00915C1C">
        <w:t>the example of a</w:t>
      </w:r>
      <w:r w:rsidR="008F218A">
        <w:t>n</w:t>
      </w:r>
      <w:r w:rsidR="00915C1C">
        <w:t xml:space="preserve"> </w:t>
      </w:r>
      <w:r>
        <w:t xml:space="preserve">$840,000 contract for boxed water. Nine months after the contract was registered, DCAS found the vendor in default for failing to deliver an order for </w:t>
      </w:r>
      <w:r w:rsidR="00C2081F">
        <w:t>NYCEM</w:t>
      </w:r>
      <w:r>
        <w:t xml:space="preserve"> and for not responding to the agency</w:t>
      </w:r>
      <w:r w:rsidR="00F6369F">
        <w:t>.</w:t>
      </w:r>
      <w:r w:rsidR="00F6369F">
        <w:rPr>
          <w:rStyle w:val="FootnoteReference"/>
        </w:rPr>
        <w:footnoteReference w:id="43"/>
      </w:r>
      <w:r>
        <w:t xml:space="preserve"> </w:t>
      </w:r>
      <w:r w:rsidR="00F6369F">
        <w:t>T</w:t>
      </w:r>
      <w:r>
        <w:t>he Comptroller later found that the vendor had previously reported annual revenue of less than $100,000, raising questions about how DCAS concluded that it could perform the contract.</w:t>
      </w:r>
      <w:r>
        <w:rPr>
          <w:rStyle w:val="FootnoteReference"/>
        </w:rPr>
        <w:footnoteReference w:id="44"/>
      </w:r>
      <w:r>
        <w:t xml:space="preserve"> DCAS </w:t>
      </w:r>
      <w:r w:rsidR="007D184C">
        <w:t xml:space="preserve">ultimately </w:t>
      </w:r>
      <w:r>
        <w:t>had to spend additional time and resources to secure a replacement with a different vendor.</w:t>
      </w:r>
      <w:r>
        <w:rPr>
          <w:rStyle w:val="FootnoteReference"/>
        </w:rPr>
        <w:footnoteReference w:id="45"/>
      </w:r>
    </w:p>
    <w:p w14:paraId="672DA51D" w14:textId="21053DFD" w:rsidR="009757C2" w:rsidRDefault="009757C2" w:rsidP="00CA3E8C">
      <w:pPr>
        <w:pStyle w:val="RomanHeading2"/>
      </w:pPr>
      <w:r>
        <w:t>Underspending on M</w:t>
      </w:r>
      <w:r w:rsidR="00AB636C">
        <w:t>/</w:t>
      </w:r>
      <w:r>
        <w:t>WBE Master Agreements</w:t>
      </w:r>
    </w:p>
    <w:p w14:paraId="56D5EEBD" w14:textId="3E8122A7" w:rsidR="009757C2" w:rsidRDefault="009757C2" w:rsidP="00CA3E8C">
      <w:pPr>
        <w:pStyle w:val="Paragraph"/>
      </w:pPr>
      <w:r>
        <w:t xml:space="preserve">While most of the </w:t>
      </w:r>
      <w:r w:rsidR="00D44691">
        <w:t>C</w:t>
      </w:r>
      <w:r>
        <w:t xml:space="preserve">omptroller’s </w:t>
      </w:r>
      <w:r w:rsidR="0036167B">
        <w:t xml:space="preserve">report focused on </w:t>
      </w:r>
      <w:r w:rsidR="003533F5">
        <w:t xml:space="preserve">Master Agreement overspending, underspending </w:t>
      </w:r>
      <w:r w:rsidR="00AE47F8">
        <w:t>also presents</w:t>
      </w:r>
      <w:r w:rsidR="00B65DDF">
        <w:t xml:space="preserve"> problems for</w:t>
      </w:r>
      <w:r w:rsidR="00AE47F8">
        <w:t xml:space="preserve"> </w:t>
      </w:r>
      <w:r w:rsidR="00D2313E">
        <w:t>budget transparency</w:t>
      </w:r>
      <w:r w:rsidR="00AE47F8">
        <w:t xml:space="preserve"> </w:t>
      </w:r>
      <w:r w:rsidR="00B65DDF">
        <w:t>regarding</w:t>
      </w:r>
      <w:r w:rsidR="00AE47F8">
        <w:t xml:space="preserve"> city </w:t>
      </w:r>
      <w:r w:rsidR="003976B8">
        <w:t xml:space="preserve">Minority- and Women-owned Business Enterprises </w:t>
      </w:r>
      <w:r w:rsidR="00AD232D">
        <w:t>(“</w:t>
      </w:r>
      <w:r w:rsidR="00AE47F8">
        <w:t>M/WBE</w:t>
      </w:r>
      <w:r w:rsidR="00AD232D">
        <w:t>”)</w:t>
      </w:r>
      <w:r w:rsidR="00AE47F8">
        <w:t xml:space="preserve"> </w:t>
      </w:r>
      <w:r w:rsidR="002B0216">
        <w:t>utilization goals</w:t>
      </w:r>
      <w:r w:rsidR="0056607D">
        <w:t>.</w:t>
      </w:r>
      <w:bookmarkStart w:id="4" w:name="_Ref231812242"/>
      <w:r w:rsidR="008D5AAD">
        <w:rPr>
          <w:rStyle w:val="FootnoteReference"/>
        </w:rPr>
        <w:footnoteReference w:id="46"/>
      </w:r>
      <w:bookmarkEnd w:id="4"/>
      <w:r w:rsidR="00B65DDF">
        <w:t xml:space="preserve"> </w:t>
      </w:r>
      <w:r w:rsidR="00445335">
        <w:t xml:space="preserve">A 2024 report by </w:t>
      </w:r>
      <w:r w:rsidR="00D44691">
        <w:t>the Comptrol</w:t>
      </w:r>
      <w:r w:rsidR="006E23B0">
        <w:t xml:space="preserve">ler found that </w:t>
      </w:r>
      <w:r w:rsidR="00362A02">
        <w:t xml:space="preserve">M/WBE utilization </w:t>
      </w:r>
      <w:r w:rsidR="00B77A4C">
        <w:t>data</w:t>
      </w:r>
      <w:r w:rsidR="00362A02">
        <w:t xml:space="preserve"> issued by MOCS and </w:t>
      </w:r>
      <w:r w:rsidR="00EB31A3">
        <w:t xml:space="preserve">the Department of </w:t>
      </w:r>
      <w:r w:rsidR="00362A02">
        <w:t>S</w:t>
      </w:r>
      <w:r w:rsidR="00EB31A3">
        <w:t xml:space="preserve">mall </w:t>
      </w:r>
      <w:r w:rsidR="00362A02">
        <w:t>B</w:t>
      </w:r>
      <w:r w:rsidR="00EB31A3">
        <w:t xml:space="preserve">usiness </w:t>
      </w:r>
      <w:r w:rsidR="00362A02">
        <w:t>S</w:t>
      </w:r>
      <w:r w:rsidR="00EB31A3">
        <w:t xml:space="preserve">ervices (“SBS”) </w:t>
      </w:r>
      <w:r w:rsidR="007F7696">
        <w:t>rely on</w:t>
      </w:r>
      <w:r w:rsidR="00915C1C">
        <w:t xml:space="preserve"> the</w:t>
      </w:r>
      <w:r w:rsidR="007F7696">
        <w:t xml:space="preserve"> </w:t>
      </w:r>
      <w:r w:rsidR="00985222">
        <w:t xml:space="preserve">registered value of </w:t>
      </w:r>
      <w:r w:rsidR="00CC59F9">
        <w:t>master agreements</w:t>
      </w:r>
      <w:r w:rsidR="00A55FC3">
        <w:t xml:space="preserve">, not </w:t>
      </w:r>
      <w:r w:rsidR="00C65D59">
        <w:t>actual utilization</w:t>
      </w:r>
      <w:r w:rsidR="00AD232D">
        <w:t>.</w:t>
      </w:r>
      <w:r w:rsidR="00AD232D">
        <w:rPr>
          <w:rStyle w:val="FootnoteReference"/>
        </w:rPr>
        <w:footnoteReference w:id="47"/>
      </w:r>
      <w:r w:rsidR="00960BBF">
        <w:t xml:space="preserve"> </w:t>
      </w:r>
      <w:r w:rsidR="00AD232D">
        <w:t xml:space="preserve">As </w:t>
      </w:r>
      <w:r w:rsidR="00960BBF">
        <w:t xml:space="preserve">a result, </w:t>
      </w:r>
      <w:r w:rsidR="00B77A4C">
        <w:t xml:space="preserve">MOCS and SBS </w:t>
      </w:r>
      <w:r w:rsidR="00D1641A">
        <w:t>over</w:t>
      </w:r>
      <w:r w:rsidR="004202A1">
        <w:t>reported M/WBE utilization by $986 million</w:t>
      </w:r>
      <w:r w:rsidR="008D0EC3">
        <w:t>.</w:t>
      </w:r>
      <w:r w:rsidR="008D0EC3">
        <w:rPr>
          <w:rStyle w:val="FootnoteReference"/>
        </w:rPr>
        <w:footnoteReference w:id="48"/>
      </w:r>
      <w:r w:rsidR="003976B8">
        <w:t xml:space="preserve"> And the underutilization of M/WBEs remains true regardless of whether MA1 or MMA1 contracts are </w:t>
      </w:r>
      <w:r w:rsidR="003976B8">
        <w:lastRenderedPageBreak/>
        <w:t>examined.</w:t>
      </w:r>
      <w:r w:rsidR="003976B8">
        <w:rPr>
          <w:rStyle w:val="FootnoteReference"/>
        </w:rPr>
        <w:footnoteReference w:id="49"/>
      </w:r>
      <w:r w:rsidR="009E26FA">
        <w:t xml:space="preserve"> The Comptroller found </w:t>
      </w:r>
      <w:r w:rsidR="00C04845">
        <w:t xml:space="preserve">60 </w:t>
      </w:r>
      <w:r w:rsidR="00C05A4A">
        <w:t>percent of M/WBE</w:t>
      </w:r>
      <w:r w:rsidR="00D97607">
        <w:t xml:space="preserve"> completed </w:t>
      </w:r>
      <w:r w:rsidR="00C04845">
        <w:t>MA1</w:t>
      </w:r>
      <w:r w:rsidR="00E3594E">
        <w:t xml:space="preserve"> </w:t>
      </w:r>
      <w:r w:rsidR="00ED695F">
        <w:t>were underused</w:t>
      </w:r>
      <w:r w:rsidR="00697BB9">
        <w:t>,</w:t>
      </w:r>
      <w:r w:rsidR="00ED695F">
        <w:t xml:space="preserve"> while </w:t>
      </w:r>
      <w:r w:rsidR="00525BD9">
        <w:t xml:space="preserve">97 percent of </w:t>
      </w:r>
      <w:r w:rsidR="00D97607">
        <w:t xml:space="preserve">M/WBE </w:t>
      </w:r>
      <w:r w:rsidR="003976B8">
        <w:t>MMA1 Master Agreements</w:t>
      </w:r>
      <w:r w:rsidR="00C8199D">
        <w:t xml:space="preserve"> </w:t>
      </w:r>
      <w:r w:rsidR="00A96CB2">
        <w:t>were underused</w:t>
      </w:r>
      <w:r w:rsidR="00D97607">
        <w:t>.</w:t>
      </w:r>
      <w:r w:rsidR="00D97607">
        <w:rPr>
          <w:rStyle w:val="FootnoteReference"/>
        </w:rPr>
        <w:footnoteReference w:id="50"/>
      </w:r>
    </w:p>
    <w:p w14:paraId="1BCE6987" w14:textId="2B5689A2" w:rsidR="009534C5" w:rsidRDefault="009534C5" w:rsidP="00CA3E8C">
      <w:pPr>
        <w:pStyle w:val="RomanHeading2"/>
      </w:pPr>
      <w:r>
        <w:t xml:space="preserve">Comparison with Federal </w:t>
      </w:r>
      <w:r w:rsidR="008B06EE">
        <w:t>Indefinite Delivery/Indefinite</w:t>
      </w:r>
      <w:r w:rsidR="006D75BE">
        <w:t xml:space="preserve"> Quantity Contracts</w:t>
      </w:r>
    </w:p>
    <w:p w14:paraId="6DC99E44" w14:textId="4A6032B6" w:rsidR="00251DAE" w:rsidRDefault="00F91ECE" w:rsidP="00CA3E8C">
      <w:pPr>
        <w:pStyle w:val="Paragraph"/>
      </w:pPr>
      <w:r>
        <w:t xml:space="preserve">Other levels of government </w:t>
      </w:r>
      <w:r w:rsidR="00AD1EDA">
        <w:t xml:space="preserve">have similar open-ended </w:t>
      </w:r>
      <w:r w:rsidR="007B5F4B">
        <w:t xml:space="preserve">purchasing contracts </w:t>
      </w:r>
      <w:r w:rsidR="00EA7D5C">
        <w:t xml:space="preserve">but with </w:t>
      </w:r>
      <w:r w:rsidR="009B4027">
        <w:t>more effective oversight and transparency. Federal agencies often utilize</w:t>
      </w:r>
      <w:r w:rsidR="00F36D4C">
        <w:t xml:space="preserve"> </w:t>
      </w:r>
      <w:r w:rsidR="009B4027">
        <w:t>Indefinite Delivery/Indefi</w:t>
      </w:r>
      <w:r w:rsidR="00B96396">
        <w:t xml:space="preserve">nite Quantity (“IDIQ”) contracts for </w:t>
      </w:r>
      <w:r w:rsidR="00873BC2">
        <w:t xml:space="preserve">needs where the total spend </w:t>
      </w:r>
      <w:r w:rsidR="00C04845">
        <w:t xml:space="preserve">cannot </w:t>
      </w:r>
      <w:r w:rsidR="00810F54">
        <w:t xml:space="preserve">be </w:t>
      </w:r>
      <w:r w:rsidR="00F419FF">
        <w:t xml:space="preserve">readily </w:t>
      </w:r>
      <w:r w:rsidR="00810F54">
        <w:t xml:space="preserve">determined </w:t>
      </w:r>
      <w:r w:rsidR="00F9184D">
        <w:t>beyond a specified minimum</w:t>
      </w:r>
      <w:r w:rsidR="00BA0F53">
        <w:t>.</w:t>
      </w:r>
      <w:r w:rsidR="00BA0F53">
        <w:rPr>
          <w:rStyle w:val="FootnoteReference"/>
        </w:rPr>
        <w:footnoteReference w:id="51"/>
      </w:r>
      <w:r w:rsidR="00BA0F53">
        <w:t xml:space="preserve"> These are usually contracts for services and goods such as</w:t>
      </w:r>
      <w:r w:rsidR="00964DB0">
        <w:t xml:space="preserve"> architect</w:t>
      </w:r>
      <w:r w:rsidR="00786A4A">
        <w:t>ural and engineering</w:t>
      </w:r>
      <w:r w:rsidR="006272F6">
        <w:t xml:space="preserve"> services</w:t>
      </w:r>
      <w:r w:rsidR="00287D9F">
        <w:t>, or whe</w:t>
      </w:r>
      <w:r w:rsidR="009B493A">
        <w:t xml:space="preserve">n agencies require flexibility in ordering quantities and delivery scheduling, as is often the case with </w:t>
      </w:r>
      <w:r w:rsidR="00697FD9">
        <w:t>national security procurement</w:t>
      </w:r>
      <w:r w:rsidR="006272F6">
        <w:t>.</w:t>
      </w:r>
      <w:r w:rsidR="0001158B">
        <w:rPr>
          <w:rStyle w:val="FootnoteReference"/>
        </w:rPr>
        <w:footnoteReference w:id="52"/>
      </w:r>
    </w:p>
    <w:p w14:paraId="16EB7D7B" w14:textId="79760C35" w:rsidR="006D75BE" w:rsidRDefault="00251DAE" w:rsidP="00CA3E8C">
      <w:pPr>
        <w:pStyle w:val="Paragraph"/>
      </w:pPr>
      <w:r>
        <w:t xml:space="preserve">IDIQ contracts are designed to provide federal agencies with flexibility to cover spending needs as they arise. However, these contracts still provide meaningful constraints on what can and cannot be done with them. </w:t>
      </w:r>
      <w:r w:rsidR="008A2365">
        <w:t xml:space="preserve">While total costs may not be knowable before </w:t>
      </w:r>
      <w:r w:rsidR="00E959C8">
        <w:t xml:space="preserve">agencies enter into an IDIQ contract, </w:t>
      </w:r>
      <w:r w:rsidR="001772AF">
        <w:t xml:space="preserve">the contracts </w:t>
      </w:r>
      <w:r w:rsidR="002C39A1">
        <w:t xml:space="preserve">establish prices for each </w:t>
      </w:r>
      <w:r w:rsidR="00C90748">
        <w:t xml:space="preserve">good or service covered, and </w:t>
      </w:r>
      <w:r w:rsidR="008273F1">
        <w:t>contracting officers</w:t>
      </w:r>
      <w:r w:rsidR="00C90748">
        <w:t xml:space="preserve"> must describe all</w:t>
      </w:r>
      <w:r w:rsidR="008273F1">
        <w:t xml:space="preserve"> goods and</w:t>
      </w:r>
      <w:r w:rsidR="00C90748">
        <w:t xml:space="preserve"> services </w:t>
      </w:r>
      <w:r w:rsidR="008273F1">
        <w:t xml:space="preserve">requested in each individual order under such a </w:t>
      </w:r>
      <w:r w:rsidR="00F93F76">
        <w:t>contract.</w:t>
      </w:r>
      <w:r w:rsidR="005B5232">
        <w:rPr>
          <w:rStyle w:val="FootnoteReference"/>
        </w:rPr>
        <w:footnoteReference w:id="53"/>
      </w:r>
      <w:r w:rsidR="00786A4A">
        <w:t xml:space="preserve"> </w:t>
      </w:r>
      <w:r w:rsidR="005E1FE0">
        <w:t>IDIQ contracts also</w:t>
      </w:r>
      <w:r w:rsidR="00BE38FC">
        <w:t xml:space="preserve"> </w:t>
      </w:r>
      <w:r w:rsidR="00DB0D3C">
        <w:t>specify</w:t>
      </w:r>
      <w:r w:rsidR="00BE38FC">
        <w:t xml:space="preserve"> </w:t>
      </w:r>
      <w:r w:rsidR="00866BAD">
        <w:t xml:space="preserve">both a minimum and maximum </w:t>
      </w:r>
      <w:r w:rsidR="00113465">
        <w:t xml:space="preserve">quantity of supplies </w:t>
      </w:r>
      <w:r w:rsidR="00F52A4A">
        <w:t>and services</w:t>
      </w:r>
      <w:r w:rsidR="00673892">
        <w:t>.</w:t>
      </w:r>
      <w:r w:rsidR="00673892">
        <w:rPr>
          <w:rStyle w:val="FootnoteReference"/>
        </w:rPr>
        <w:footnoteReference w:id="54"/>
      </w:r>
      <w:r w:rsidR="00835152">
        <w:t xml:space="preserve"> Federal rules also specify </w:t>
      </w:r>
      <w:r w:rsidR="00626CA3">
        <w:t xml:space="preserve">contracting officers entering into IDIQ contracts must, to the extent possible, </w:t>
      </w:r>
      <w:r w:rsidR="002B7908">
        <w:t xml:space="preserve">award </w:t>
      </w:r>
      <w:r w:rsidR="008F03DE">
        <w:t xml:space="preserve">these agreements to multiple vendors under the same </w:t>
      </w:r>
      <w:r w:rsidR="001F1EDC">
        <w:t>contract to avoid relying on sole sources for ongoing needs</w:t>
      </w:r>
      <w:r w:rsidR="007E5C8C">
        <w:t>.</w:t>
      </w:r>
      <w:r w:rsidR="007E5C8C">
        <w:rPr>
          <w:rStyle w:val="FootnoteReference"/>
        </w:rPr>
        <w:footnoteReference w:id="55"/>
      </w:r>
      <w:r w:rsidR="003350CE">
        <w:t xml:space="preserve"> </w:t>
      </w:r>
      <w:r w:rsidR="00C27FE1">
        <w:t>Single</w:t>
      </w:r>
      <w:r w:rsidR="003350CE">
        <w:t xml:space="preserve"> vendors may only receive </w:t>
      </w:r>
      <w:r w:rsidR="00183E94">
        <w:t xml:space="preserve">delivery order </w:t>
      </w:r>
      <w:r w:rsidR="00183E94">
        <w:lastRenderedPageBreak/>
        <w:t>contracts exceeding $150 million in strictly limited circumstances</w:t>
      </w:r>
      <w:r w:rsidR="001F1EDC">
        <w:t>.</w:t>
      </w:r>
      <w:r w:rsidR="00CC7291">
        <w:rPr>
          <w:rStyle w:val="FootnoteReference"/>
        </w:rPr>
        <w:footnoteReference w:id="56"/>
      </w:r>
      <w:r w:rsidR="00267154">
        <w:t xml:space="preserve"> If contracting officers </w:t>
      </w:r>
      <w:r w:rsidR="00322023">
        <w:t>make orders under IDIQ contracts exceeding a simplified acquisition threshold</w:t>
      </w:r>
      <w:r w:rsidR="00F4108F">
        <w:t xml:space="preserve"> that does not allow </w:t>
      </w:r>
      <w:r w:rsidR="00FE1B97">
        <w:t xml:space="preserve">multiple contractors a fair opportunity to </w:t>
      </w:r>
      <w:r w:rsidR="00AF19A9">
        <w:t>be considered</w:t>
      </w:r>
      <w:r w:rsidR="002B4563">
        <w:t xml:space="preserve">, they must publish a justification </w:t>
      </w:r>
      <w:r w:rsidR="00701DD4">
        <w:t xml:space="preserve">on SAM.gov, the Federal contracting </w:t>
      </w:r>
      <w:r w:rsidR="005D1812">
        <w:t>website.</w:t>
      </w:r>
      <w:r w:rsidR="005D1812">
        <w:rPr>
          <w:rStyle w:val="FootnoteReference"/>
        </w:rPr>
        <w:footnoteReference w:id="57"/>
      </w:r>
    </w:p>
    <w:p w14:paraId="32E020BD" w14:textId="5DDF7D01" w:rsidR="00975847" w:rsidRPr="006D75BE" w:rsidRDefault="00C759B9" w:rsidP="00CA3E8C">
      <w:pPr>
        <w:pStyle w:val="Paragraph"/>
      </w:pPr>
      <w:r>
        <w:t xml:space="preserve">The federal spending </w:t>
      </w:r>
      <w:r w:rsidR="007825BF">
        <w:t>tracker</w:t>
      </w:r>
      <w:r w:rsidR="00251C03">
        <w:t xml:space="preserve"> website, USASpending.gov, also provides more </w:t>
      </w:r>
      <w:r w:rsidR="00F3323B">
        <w:t xml:space="preserve">granular information on IDIQ contracts than its New York City equivalent, </w:t>
      </w:r>
      <w:proofErr w:type="spellStart"/>
      <w:r w:rsidR="00F3323B">
        <w:t>CheckbookNYC</w:t>
      </w:r>
      <w:proofErr w:type="spellEnd"/>
      <w:r w:rsidR="00F3323B">
        <w:t>, does for city Master Agreement contracts</w:t>
      </w:r>
      <w:r w:rsidR="00C27FE1">
        <w:t>. T</w:t>
      </w:r>
      <w:r w:rsidR="00B7071D">
        <w:t xml:space="preserve">he USASpending.gov pages for </w:t>
      </w:r>
      <w:r w:rsidR="00F3323B">
        <w:t>federal IDIQ</w:t>
      </w:r>
      <w:r w:rsidR="00B7071D">
        <w:t xml:space="preserve"> contracts clearly list every modification and transaction </w:t>
      </w:r>
      <w:r w:rsidR="003F7C5B">
        <w:t>under said contracts with short explanations for each action.</w:t>
      </w:r>
      <w:r w:rsidR="003F7C5B">
        <w:rPr>
          <w:rStyle w:val="FootnoteReference"/>
        </w:rPr>
        <w:footnoteReference w:id="58"/>
      </w:r>
      <w:r w:rsidR="00F3323B">
        <w:t xml:space="preserve"> </w:t>
      </w:r>
      <w:r w:rsidR="005F4DA6">
        <w:t xml:space="preserve">In contrast, </w:t>
      </w:r>
      <w:proofErr w:type="spellStart"/>
      <w:r w:rsidR="00E34C19">
        <w:t>CheckbookNYC</w:t>
      </w:r>
      <w:proofErr w:type="spellEnd"/>
      <w:r w:rsidR="00E34C19">
        <w:t xml:space="preserve"> pages for Master Agreements do not provide this level of granularity for </w:t>
      </w:r>
      <w:r w:rsidR="00117565">
        <w:t>contract spending.</w:t>
      </w:r>
      <w:r w:rsidR="00117565">
        <w:rPr>
          <w:rStyle w:val="FootnoteReference"/>
        </w:rPr>
        <w:footnoteReference w:id="59"/>
      </w:r>
    </w:p>
    <w:p w14:paraId="7964822F" w14:textId="77777777" w:rsidR="004868FC" w:rsidRDefault="001614E3" w:rsidP="00CA3E8C">
      <w:pPr>
        <w:pStyle w:val="RomanHeading1"/>
      </w:pPr>
      <w:r>
        <w:t>CONCLUSION</w:t>
      </w:r>
    </w:p>
    <w:p w14:paraId="1FE3402F" w14:textId="7F726BD8" w:rsidR="004868FC" w:rsidRDefault="001614E3">
      <w:pPr>
        <w:spacing w:after="160" w:line="480" w:lineRule="auto"/>
        <w:ind w:firstLine="720"/>
        <w:jc w:val="both"/>
      </w:pPr>
      <w:r>
        <w:t xml:space="preserve">At this hearing, the Committee will examine how Master Agreements are structured, the gap between the values agencies estimate at registration and what the City </w:t>
      </w:r>
      <w:proofErr w:type="gramStart"/>
      <w:r>
        <w:t>actually spends</w:t>
      </w:r>
      <w:proofErr w:type="gramEnd"/>
      <w:r>
        <w:t xml:space="preserve">, the limited public record of individual delivery orders, and the reduced oversight that applies to Accelerated Procurements. The Committee will hear from the Comptroller, </w:t>
      </w:r>
      <w:r w:rsidR="009B4684">
        <w:t xml:space="preserve">MOCS, </w:t>
      </w:r>
      <w:r>
        <w:t xml:space="preserve">DCAS, and OTI </w:t>
      </w:r>
      <w:proofErr w:type="gramStart"/>
      <w:r>
        <w:t>on</w:t>
      </w:r>
      <w:proofErr w:type="gramEnd"/>
      <w:r>
        <w:t xml:space="preserve"> the report’s findings and recommendations and on the steps the Mamdani administration is taking in response.</w:t>
      </w:r>
    </w:p>
    <w:sectPr w:rsidR="004868FC" w:rsidSect="00D67C62">
      <w:footerReference w:type="default" r:id="rId10"/>
      <w:pgSz w:w="12240" w:h="15840"/>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F3922" w14:textId="77777777" w:rsidR="007C1F73" w:rsidRDefault="007C1F73">
      <w:r>
        <w:separator/>
      </w:r>
    </w:p>
  </w:endnote>
  <w:endnote w:type="continuationSeparator" w:id="0">
    <w:p w14:paraId="1701476E" w14:textId="77777777" w:rsidR="007C1F73" w:rsidRDefault="007C1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ED34" w14:textId="6C0FC726" w:rsidR="00D67C62" w:rsidRDefault="00D67C62" w:rsidP="00D67C6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6468" w14:textId="77777777" w:rsidR="00D67C62" w:rsidRDefault="00D67C62" w:rsidP="00D67C62">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008AE" w14:textId="77777777" w:rsidR="007C1F73" w:rsidRDefault="007C1F73">
      <w:r>
        <w:separator/>
      </w:r>
    </w:p>
  </w:footnote>
  <w:footnote w:type="continuationSeparator" w:id="0">
    <w:p w14:paraId="4F2B31CF" w14:textId="77777777" w:rsidR="007C1F73" w:rsidRDefault="007C1F73">
      <w:r>
        <w:continuationSeparator/>
      </w:r>
    </w:p>
  </w:footnote>
  <w:footnote w:id="1">
    <w:p w14:paraId="7BF20550" w14:textId="63A04516" w:rsidR="004868FC" w:rsidRPr="007D184C" w:rsidRDefault="001614E3" w:rsidP="007D184C">
      <w:pPr>
        <w:spacing w:after="40"/>
        <w:rPr>
          <w:sz w:val="20"/>
          <w:szCs w:val="20"/>
        </w:rPr>
      </w:pPr>
      <w:r w:rsidRPr="007D184C">
        <w:rPr>
          <w:rStyle w:val="FootnoteReference"/>
          <w:sz w:val="20"/>
          <w:szCs w:val="20"/>
        </w:rPr>
        <w:footnoteRef/>
      </w:r>
      <w:r w:rsidR="007D184C">
        <w:rPr>
          <w:i/>
          <w:iCs/>
          <w:sz w:val="20"/>
          <w:szCs w:val="20"/>
        </w:rPr>
        <w:t xml:space="preserve"> </w:t>
      </w:r>
      <w:r w:rsidRPr="007D184C">
        <w:rPr>
          <w:i/>
          <w:iCs/>
          <w:sz w:val="20"/>
          <w:szCs w:val="20"/>
        </w:rPr>
        <w:t xml:space="preserve">See </w:t>
      </w:r>
      <w:r w:rsidRPr="007D184C">
        <w:rPr>
          <w:sz w:val="20"/>
          <w:szCs w:val="20"/>
        </w:rPr>
        <w:t xml:space="preserve">Office of N.Y.C. Comptroller Mark Levine, </w:t>
      </w:r>
      <w:r w:rsidRPr="007D184C">
        <w:rPr>
          <w:i/>
          <w:iCs/>
          <w:sz w:val="20"/>
          <w:szCs w:val="20"/>
        </w:rPr>
        <w:t>Contract Primer</w:t>
      </w:r>
      <w:r w:rsidRPr="007D184C">
        <w:rPr>
          <w:sz w:val="20"/>
          <w:szCs w:val="20"/>
        </w:rPr>
        <w:t>, https://comptroller.nyc.gov/reports/contract-primer/ (</w:t>
      </w:r>
      <w:r w:rsidRPr="00F92C65">
        <w:rPr>
          <w:sz w:val="20"/>
          <w:szCs w:val="20"/>
        </w:rPr>
        <w:t>last visited</w:t>
      </w:r>
      <w:r w:rsidRPr="007D184C">
        <w:rPr>
          <w:sz w:val="20"/>
          <w:szCs w:val="20"/>
        </w:rPr>
        <w:t xml:space="preserve"> </w:t>
      </w:r>
      <w:r w:rsidR="00F92C65">
        <w:rPr>
          <w:sz w:val="20"/>
          <w:szCs w:val="20"/>
        </w:rPr>
        <w:t>June 5</w:t>
      </w:r>
      <w:r w:rsidRPr="007D184C">
        <w:rPr>
          <w:sz w:val="20"/>
          <w:szCs w:val="20"/>
        </w:rPr>
        <w:t>, 2026).</w:t>
      </w:r>
    </w:p>
  </w:footnote>
  <w:footnote w:id="2">
    <w:p w14:paraId="7CAEA48D" w14:textId="019AC3DB" w:rsidR="00AD486D" w:rsidRPr="001243C0" w:rsidRDefault="00AD486D">
      <w:pPr>
        <w:pStyle w:val="FootnoteText"/>
      </w:pPr>
      <w:r>
        <w:rPr>
          <w:rStyle w:val="FootnoteReference"/>
        </w:rPr>
        <w:footnoteRef/>
      </w:r>
      <w:r>
        <w:t xml:space="preserve"> </w:t>
      </w:r>
      <w:r w:rsidR="004A1335">
        <w:rPr>
          <w:smallCaps/>
        </w:rPr>
        <w:t xml:space="preserve">Office of the </w:t>
      </w:r>
      <w:r w:rsidR="00995165">
        <w:rPr>
          <w:smallCaps/>
        </w:rPr>
        <w:t xml:space="preserve">N.Y.C. </w:t>
      </w:r>
      <w:r w:rsidR="004A1335">
        <w:rPr>
          <w:smallCaps/>
        </w:rPr>
        <w:t xml:space="preserve">Comptroller, Asylum Seeker </w:t>
      </w:r>
      <w:r w:rsidR="00087A70">
        <w:rPr>
          <w:smallCaps/>
        </w:rPr>
        <w:t xml:space="preserve">Staffing Contract Comparison and Review </w:t>
      </w:r>
      <w:r w:rsidR="004A1335">
        <w:t>4</w:t>
      </w:r>
      <w:r w:rsidR="00087A70">
        <w:t xml:space="preserve"> (Feb. 2024), </w:t>
      </w:r>
      <w:r w:rsidR="00225D71" w:rsidRPr="00225D71">
        <w:t>https://comptroller.nyc.gov/reports/asylum-seeker-staffing-contract-comparison-and-review/</w:t>
      </w:r>
      <w:r w:rsidR="00225D71">
        <w:t xml:space="preserve"> [hereinafter </w:t>
      </w:r>
      <w:r w:rsidR="00225D71">
        <w:rPr>
          <w:smallCaps/>
        </w:rPr>
        <w:t>Asylum Contracts</w:t>
      </w:r>
      <w:r w:rsidR="00225D71">
        <w:t>].</w:t>
      </w:r>
      <w:r w:rsidR="00405387">
        <w:t xml:space="preserve"> </w:t>
      </w:r>
      <w:r w:rsidR="00405387">
        <w:rPr>
          <w:i/>
          <w:iCs/>
        </w:rPr>
        <w:t>See also Contract Primer</w:t>
      </w:r>
      <w:r w:rsidR="00405387">
        <w:t xml:space="preserve">, </w:t>
      </w:r>
      <w:r w:rsidR="00405387">
        <w:rPr>
          <w:i/>
          <w:iCs/>
        </w:rPr>
        <w:t>supra</w:t>
      </w:r>
      <w:r w:rsidR="001243C0">
        <w:rPr>
          <w:i/>
          <w:iCs/>
        </w:rPr>
        <w:t xml:space="preserve"> </w:t>
      </w:r>
      <w:r w:rsidR="001243C0">
        <w:t xml:space="preserve">note </w:t>
      </w:r>
      <w:r w:rsidR="001243C0">
        <w:fldChar w:fldCharType="begin"/>
      </w:r>
      <w:r w:rsidR="001243C0">
        <w:instrText xml:space="preserve"> NOTEREF _Ref231554637 \h </w:instrText>
      </w:r>
      <w:r w:rsidR="001243C0">
        <w:fldChar w:fldCharType="separate"/>
      </w:r>
      <w:r w:rsidR="001243C0">
        <w:t>1</w:t>
      </w:r>
      <w:r w:rsidR="001243C0">
        <w:fldChar w:fldCharType="end"/>
      </w:r>
      <w:r w:rsidR="001243C0">
        <w:t>.</w:t>
      </w:r>
    </w:p>
  </w:footnote>
  <w:footnote w:id="3">
    <w:p w14:paraId="0EC2B578" w14:textId="53C18DC4" w:rsidR="004868FC" w:rsidRPr="007D184C" w:rsidRDefault="001614E3" w:rsidP="007D184C">
      <w:pPr>
        <w:spacing w:after="40"/>
        <w:rPr>
          <w:sz w:val="20"/>
          <w:szCs w:val="20"/>
        </w:rPr>
      </w:pPr>
      <w:r w:rsidRPr="007D184C">
        <w:rPr>
          <w:rStyle w:val="FootnoteReference"/>
          <w:sz w:val="20"/>
          <w:szCs w:val="20"/>
        </w:rPr>
        <w:footnoteRef/>
      </w:r>
      <w:r w:rsidR="007D184C">
        <w:rPr>
          <w:i/>
          <w:iCs/>
          <w:sz w:val="20"/>
          <w:szCs w:val="20"/>
        </w:rPr>
        <w:t xml:space="preserve"> </w:t>
      </w:r>
      <w:r w:rsidRPr="007D184C">
        <w:rPr>
          <w:i/>
          <w:iCs/>
          <w:sz w:val="20"/>
          <w:szCs w:val="20"/>
        </w:rPr>
        <w:t xml:space="preserve">See </w:t>
      </w:r>
      <w:r w:rsidRPr="007D184C">
        <w:rPr>
          <w:sz w:val="20"/>
          <w:szCs w:val="20"/>
        </w:rPr>
        <w:t>9 RCNY §§ 3-02, 3-03.</w:t>
      </w:r>
    </w:p>
  </w:footnote>
  <w:footnote w:id="4">
    <w:p w14:paraId="255A2283" w14:textId="01DEBD3F" w:rsidR="00C93AE1" w:rsidRDefault="00C93AE1">
      <w:pPr>
        <w:pStyle w:val="FootnoteText"/>
      </w:pPr>
      <w:r>
        <w:rPr>
          <w:rStyle w:val="FootnoteReference"/>
        </w:rPr>
        <w:footnoteRef/>
      </w:r>
      <w:r>
        <w:t xml:space="preserve"> </w:t>
      </w:r>
      <w:r w:rsidR="00BB26A1" w:rsidRPr="007D184C">
        <w:rPr>
          <w:i/>
          <w:iCs/>
        </w:rPr>
        <w:t>See Contract Primer</w:t>
      </w:r>
      <w:r w:rsidR="00BB26A1" w:rsidRPr="007D184C">
        <w:t xml:space="preserve">, </w:t>
      </w:r>
      <w:r w:rsidR="00BB26A1" w:rsidRPr="007D184C">
        <w:rPr>
          <w:i/>
          <w:iCs/>
        </w:rPr>
        <w:t>supra</w:t>
      </w:r>
      <w:r w:rsidR="00BB26A1" w:rsidRPr="007D184C">
        <w:t xml:space="preserve"> note </w:t>
      </w:r>
      <w:r w:rsidR="00BB26A1">
        <w:fldChar w:fldCharType="begin"/>
      </w:r>
      <w:r w:rsidR="00BB26A1">
        <w:instrText xml:space="preserve"> NOTEREF _Ref231554637 \h </w:instrText>
      </w:r>
      <w:r w:rsidR="00BB26A1">
        <w:fldChar w:fldCharType="separate"/>
      </w:r>
      <w:r w:rsidR="00BB26A1">
        <w:t>1</w:t>
      </w:r>
      <w:r w:rsidR="00BB26A1">
        <w:fldChar w:fldCharType="end"/>
      </w:r>
      <w:r w:rsidR="00BB26A1" w:rsidRPr="007D184C">
        <w:t>.</w:t>
      </w:r>
    </w:p>
  </w:footnote>
  <w:footnote w:id="5">
    <w:p w14:paraId="3F00567D" w14:textId="5720E225" w:rsidR="00F92C65" w:rsidRPr="00DE1ACD" w:rsidRDefault="00F92C65">
      <w:pPr>
        <w:pStyle w:val="FootnoteText"/>
        <w:rPr>
          <w:i/>
          <w:iCs/>
        </w:rPr>
      </w:pPr>
      <w:r>
        <w:rPr>
          <w:rStyle w:val="FootnoteReference"/>
        </w:rPr>
        <w:footnoteRef/>
      </w:r>
      <w:r>
        <w:t xml:space="preserve"> </w:t>
      </w:r>
      <w:r>
        <w:rPr>
          <w:i/>
          <w:iCs/>
        </w:rPr>
        <w:t>Id.</w:t>
      </w:r>
    </w:p>
  </w:footnote>
  <w:footnote w:id="6">
    <w:p w14:paraId="3FF411CB" w14:textId="0E3788DA" w:rsidR="00C17B5F" w:rsidRPr="00F92C65" w:rsidRDefault="00C17B5F">
      <w:pPr>
        <w:pStyle w:val="FootnoteText"/>
        <w:rPr>
          <w:i/>
          <w:iCs/>
        </w:rPr>
      </w:pPr>
      <w:r>
        <w:rPr>
          <w:rStyle w:val="FootnoteReference"/>
        </w:rPr>
        <w:footnoteRef/>
      </w:r>
      <w:r>
        <w:t xml:space="preserve"> </w:t>
      </w:r>
      <w:r>
        <w:rPr>
          <w:i/>
          <w:iCs/>
        </w:rPr>
        <w:t>Id.</w:t>
      </w:r>
    </w:p>
  </w:footnote>
  <w:footnote w:id="7">
    <w:p w14:paraId="5EB8632E" w14:textId="5C733CFA" w:rsidR="004868FC" w:rsidRPr="007D184C" w:rsidRDefault="001614E3" w:rsidP="007D184C">
      <w:pPr>
        <w:spacing w:after="40"/>
        <w:rPr>
          <w:sz w:val="20"/>
          <w:szCs w:val="20"/>
        </w:rPr>
      </w:pPr>
      <w:r w:rsidRPr="007D184C">
        <w:rPr>
          <w:rStyle w:val="FootnoteReference"/>
          <w:sz w:val="20"/>
          <w:szCs w:val="20"/>
        </w:rPr>
        <w:footnoteRef/>
      </w:r>
      <w:r w:rsidR="007D184C">
        <w:rPr>
          <w:i/>
          <w:iCs/>
          <w:sz w:val="20"/>
          <w:szCs w:val="20"/>
        </w:rPr>
        <w:t xml:space="preserve"> </w:t>
      </w:r>
      <w:r w:rsidR="006078C3">
        <w:rPr>
          <w:i/>
          <w:iCs/>
          <w:sz w:val="20"/>
          <w:szCs w:val="20"/>
        </w:rPr>
        <w:t>Id</w:t>
      </w:r>
      <w:r w:rsidRPr="007D184C">
        <w:rPr>
          <w:sz w:val="20"/>
          <w:szCs w:val="20"/>
        </w:rPr>
        <w:t>.</w:t>
      </w:r>
    </w:p>
  </w:footnote>
  <w:footnote w:id="8">
    <w:p w14:paraId="62C1CA74" w14:textId="622D2FE7" w:rsidR="004868FC" w:rsidRPr="007D184C" w:rsidRDefault="001614E3" w:rsidP="007D184C">
      <w:pPr>
        <w:spacing w:after="40"/>
        <w:rPr>
          <w:sz w:val="20"/>
          <w:szCs w:val="20"/>
        </w:rPr>
      </w:pPr>
      <w:r w:rsidRPr="007D184C">
        <w:rPr>
          <w:rStyle w:val="FootnoteReference"/>
          <w:sz w:val="20"/>
          <w:szCs w:val="20"/>
        </w:rPr>
        <w:footnoteRef/>
      </w:r>
      <w:r w:rsidR="007D184C">
        <w:rPr>
          <w:i/>
          <w:iCs/>
          <w:sz w:val="20"/>
          <w:szCs w:val="20"/>
        </w:rPr>
        <w:t xml:space="preserve"> </w:t>
      </w:r>
      <w:r w:rsidRPr="007D184C">
        <w:rPr>
          <w:i/>
          <w:iCs/>
          <w:sz w:val="20"/>
          <w:szCs w:val="20"/>
        </w:rPr>
        <w:t xml:space="preserve">See </w:t>
      </w:r>
      <w:r w:rsidRPr="00BF2847">
        <w:rPr>
          <w:smallCaps/>
          <w:sz w:val="20"/>
          <w:szCs w:val="20"/>
        </w:rPr>
        <w:t>Office of N.Y.C. Comptroller, Annual Summary Contracts Report for the City of New York: Fiscal Year 2025</w:t>
      </w:r>
      <w:r w:rsidRPr="007D184C">
        <w:rPr>
          <w:sz w:val="20"/>
          <w:szCs w:val="20"/>
        </w:rPr>
        <w:t xml:space="preserve"> 176 (Oct. 31, 2025), https://comptroller.nyc.gov/wp-content/uploads/</w:t>
      </w:r>
      <w:r w:rsidR="00BF2847">
        <w:rPr>
          <w:sz w:val="20"/>
          <w:szCs w:val="20"/>
        </w:rPr>
        <w:t>‌‌</w:t>
      </w:r>
      <w:r w:rsidRPr="007D184C">
        <w:rPr>
          <w:sz w:val="20"/>
          <w:szCs w:val="20"/>
        </w:rPr>
        <w:t>2025/10/FY25</w:t>
      </w:r>
      <w:r w:rsidR="00D92DE6">
        <w:rPr>
          <w:sz w:val="20"/>
          <w:szCs w:val="20"/>
        </w:rPr>
        <w:t>‌‌‌‌</w:t>
      </w:r>
      <w:r w:rsidRPr="007D184C">
        <w:rPr>
          <w:sz w:val="20"/>
          <w:szCs w:val="20"/>
        </w:rPr>
        <w:t>-</w:t>
      </w:r>
      <w:r w:rsidR="0075368F">
        <w:rPr>
          <w:sz w:val="20"/>
          <w:szCs w:val="20"/>
        </w:rPr>
        <w:t>‌‌</w:t>
      </w:r>
      <w:r w:rsidRPr="007D184C">
        <w:rPr>
          <w:sz w:val="20"/>
          <w:szCs w:val="20"/>
        </w:rPr>
        <w:t>AnnualSummaryContractsReport.pdf</w:t>
      </w:r>
      <w:r w:rsidR="00BF2847">
        <w:rPr>
          <w:sz w:val="20"/>
          <w:szCs w:val="20"/>
        </w:rPr>
        <w:t xml:space="preserve"> [hereinafter 2025 </w:t>
      </w:r>
      <w:r w:rsidR="00BF2847">
        <w:rPr>
          <w:smallCaps/>
          <w:sz w:val="20"/>
          <w:szCs w:val="20"/>
        </w:rPr>
        <w:t>Annual Summary</w:t>
      </w:r>
      <w:r w:rsidR="00BF2847">
        <w:rPr>
          <w:sz w:val="20"/>
          <w:szCs w:val="20"/>
        </w:rPr>
        <w:t>]</w:t>
      </w:r>
      <w:r w:rsidRPr="007D184C">
        <w:rPr>
          <w:sz w:val="20"/>
          <w:szCs w:val="20"/>
        </w:rPr>
        <w:t>.</w:t>
      </w:r>
    </w:p>
  </w:footnote>
  <w:footnote w:id="9">
    <w:p w14:paraId="3F80AFD0" w14:textId="7A938B94" w:rsidR="004868FC" w:rsidRPr="007D184C" w:rsidRDefault="001614E3" w:rsidP="007D184C">
      <w:pPr>
        <w:spacing w:after="40"/>
        <w:jc w:val="both"/>
        <w:rPr>
          <w:sz w:val="20"/>
          <w:szCs w:val="20"/>
        </w:rPr>
      </w:pPr>
      <w:r w:rsidRPr="007D184C">
        <w:rPr>
          <w:rStyle w:val="FootnoteReference"/>
          <w:sz w:val="20"/>
          <w:szCs w:val="20"/>
        </w:rPr>
        <w:footnoteRef/>
      </w:r>
      <w:r w:rsidR="007D184C">
        <w:rPr>
          <w:i/>
          <w:iCs/>
          <w:sz w:val="20"/>
          <w:szCs w:val="20"/>
        </w:rPr>
        <w:t xml:space="preserve"> </w:t>
      </w:r>
      <w:r w:rsidRPr="007D184C">
        <w:rPr>
          <w:i/>
          <w:iCs/>
          <w:sz w:val="20"/>
          <w:szCs w:val="20"/>
        </w:rPr>
        <w:t>See Contract Primer</w:t>
      </w:r>
      <w:r w:rsidRPr="007D184C">
        <w:rPr>
          <w:sz w:val="20"/>
          <w:szCs w:val="20"/>
        </w:rPr>
        <w:t xml:space="preserve">, </w:t>
      </w:r>
      <w:r w:rsidRPr="007D184C">
        <w:rPr>
          <w:i/>
          <w:iCs/>
          <w:sz w:val="20"/>
          <w:szCs w:val="20"/>
        </w:rPr>
        <w:t>supra</w:t>
      </w:r>
      <w:r w:rsidRPr="007D184C">
        <w:rPr>
          <w:sz w:val="20"/>
          <w:szCs w:val="20"/>
        </w:rPr>
        <w:t xml:space="preserve"> note </w:t>
      </w:r>
      <w:r w:rsidR="00F92C65">
        <w:rPr>
          <w:sz w:val="20"/>
          <w:szCs w:val="20"/>
        </w:rPr>
        <w:fldChar w:fldCharType="begin"/>
      </w:r>
      <w:r w:rsidR="00F92C65">
        <w:rPr>
          <w:sz w:val="20"/>
          <w:szCs w:val="20"/>
        </w:rPr>
        <w:instrText xml:space="preserve"> NOTEREF _Ref231554637 \h </w:instrText>
      </w:r>
      <w:r w:rsidR="00F92C65">
        <w:rPr>
          <w:sz w:val="20"/>
          <w:szCs w:val="20"/>
        </w:rPr>
      </w:r>
      <w:r w:rsidR="00F92C65">
        <w:rPr>
          <w:sz w:val="20"/>
          <w:szCs w:val="20"/>
        </w:rPr>
        <w:fldChar w:fldCharType="separate"/>
      </w:r>
      <w:r w:rsidR="00F92C65">
        <w:rPr>
          <w:sz w:val="20"/>
          <w:szCs w:val="20"/>
        </w:rPr>
        <w:t>1</w:t>
      </w:r>
      <w:r w:rsidR="00F92C65">
        <w:rPr>
          <w:sz w:val="20"/>
          <w:szCs w:val="20"/>
        </w:rPr>
        <w:fldChar w:fldCharType="end"/>
      </w:r>
      <w:r w:rsidRPr="007D184C">
        <w:rPr>
          <w:sz w:val="20"/>
          <w:szCs w:val="20"/>
        </w:rPr>
        <w:t>.</w:t>
      </w:r>
    </w:p>
  </w:footnote>
  <w:footnote w:id="10">
    <w:p w14:paraId="07EE4D5C" w14:textId="6DD7F90D" w:rsidR="0038038F" w:rsidRPr="00B763BC" w:rsidRDefault="0038038F">
      <w:pPr>
        <w:pStyle w:val="FootnoteText"/>
      </w:pPr>
      <w:r>
        <w:rPr>
          <w:rStyle w:val="FootnoteReference"/>
        </w:rPr>
        <w:footnoteRef/>
      </w:r>
      <w:r>
        <w:t xml:space="preserve"> </w:t>
      </w:r>
      <w:r>
        <w:rPr>
          <w:i/>
          <w:iCs/>
        </w:rPr>
        <w:t xml:space="preserve">See </w:t>
      </w:r>
      <w:r>
        <w:t xml:space="preserve">Nick Garber &amp; </w:t>
      </w:r>
      <w:r w:rsidR="00BF2847">
        <w:t>Zachary</w:t>
      </w:r>
      <w:r>
        <w:t xml:space="preserve"> Groz, </w:t>
      </w:r>
      <w:r>
        <w:rPr>
          <w:i/>
          <w:iCs/>
        </w:rPr>
        <w:t>New York City’s Multibillion-Dollar Black Box Contracts Face Scrutiny</w:t>
      </w:r>
      <w:r>
        <w:t xml:space="preserve">, </w:t>
      </w:r>
      <w:r w:rsidR="00B763BC">
        <w:rPr>
          <w:smallCaps/>
        </w:rPr>
        <w:t xml:space="preserve">N.Y.S. Focus </w:t>
      </w:r>
      <w:r w:rsidR="00B763BC">
        <w:t xml:space="preserve">(May 6, 2026), </w:t>
      </w:r>
      <w:r w:rsidR="00B763BC" w:rsidRPr="00B763BC">
        <w:t>https://nysfocus.com/2026/05/06/new-york-city-contracting-master-agreements</w:t>
      </w:r>
      <w:r w:rsidR="00B763BC">
        <w:t>.</w:t>
      </w:r>
    </w:p>
  </w:footnote>
  <w:footnote w:id="11">
    <w:p w14:paraId="3F600A32" w14:textId="334E5D91" w:rsidR="007601FA" w:rsidRPr="00BF2847" w:rsidRDefault="007601FA">
      <w:pPr>
        <w:pStyle w:val="FootnoteText"/>
        <w:rPr>
          <w:i/>
          <w:iCs/>
        </w:rPr>
      </w:pPr>
      <w:r>
        <w:rPr>
          <w:rStyle w:val="FootnoteReference"/>
        </w:rPr>
        <w:footnoteRef/>
      </w:r>
      <w:r>
        <w:t xml:space="preserve"> </w:t>
      </w:r>
      <w:r>
        <w:rPr>
          <w:i/>
          <w:iCs/>
        </w:rPr>
        <w:t>Id.</w:t>
      </w:r>
    </w:p>
  </w:footnote>
  <w:footnote w:id="12">
    <w:p w14:paraId="5828C8B6" w14:textId="1C47AEFD" w:rsidR="00E23A1C" w:rsidRPr="007536C6" w:rsidRDefault="00E23A1C">
      <w:pPr>
        <w:pStyle w:val="FootnoteText"/>
      </w:pPr>
      <w:r>
        <w:rPr>
          <w:rStyle w:val="FootnoteReference"/>
        </w:rPr>
        <w:footnoteRef/>
      </w:r>
      <w:r>
        <w:t xml:space="preserve"> </w:t>
      </w:r>
      <w:r w:rsidR="007536C6">
        <w:rPr>
          <w:i/>
          <w:iCs/>
        </w:rPr>
        <w:t xml:space="preserve">See </w:t>
      </w:r>
      <w:r w:rsidR="007536C6">
        <w:t>9 RCNY § 2-12.</w:t>
      </w:r>
    </w:p>
  </w:footnote>
  <w:footnote w:id="13">
    <w:p w14:paraId="46E59913" w14:textId="095EA4BB" w:rsidR="004868FC" w:rsidRPr="007D184C" w:rsidRDefault="001614E3" w:rsidP="007D184C">
      <w:pPr>
        <w:spacing w:after="40"/>
        <w:jc w:val="both"/>
        <w:rPr>
          <w:sz w:val="20"/>
          <w:szCs w:val="20"/>
        </w:rPr>
      </w:pPr>
      <w:r w:rsidRPr="007D184C">
        <w:rPr>
          <w:rStyle w:val="FootnoteReference"/>
          <w:sz w:val="20"/>
          <w:szCs w:val="20"/>
        </w:rPr>
        <w:footnoteRef/>
      </w:r>
      <w:r w:rsidR="007D184C">
        <w:rPr>
          <w:i/>
          <w:iCs/>
          <w:sz w:val="20"/>
          <w:szCs w:val="20"/>
        </w:rPr>
        <w:t xml:space="preserve"> </w:t>
      </w:r>
      <w:r w:rsidRPr="007D184C">
        <w:rPr>
          <w:i/>
          <w:iCs/>
          <w:sz w:val="20"/>
          <w:szCs w:val="20"/>
        </w:rPr>
        <w:t xml:space="preserve">See </w:t>
      </w:r>
      <w:r w:rsidR="007536C6">
        <w:rPr>
          <w:i/>
          <w:iCs/>
          <w:sz w:val="20"/>
          <w:szCs w:val="20"/>
        </w:rPr>
        <w:t>id</w:t>
      </w:r>
      <w:r w:rsidRPr="007D184C">
        <w:rPr>
          <w:sz w:val="20"/>
          <w:szCs w:val="20"/>
        </w:rPr>
        <w:t>.</w:t>
      </w:r>
    </w:p>
  </w:footnote>
  <w:footnote w:id="14">
    <w:p w14:paraId="1662D8E3" w14:textId="2EA12148" w:rsidR="00D7550E" w:rsidRDefault="00D7550E">
      <w:pPr>
        <w:pStyle w:val="FootnoteText"/>
      </w:pPr>
      <w:r>
        <w:rPr>
          <w:rStyle w:val="FootnoteReference"/>
        </w:rPr>
        <w:footnoteRef/>
      </w:r>
      <w:r>
        <w:t xml:space="preserve"> </w:t>
      </w:r>
      <w:r w:rsidRPr="007D184C">
        <w:rPr>
          <w:i/>
          <w:iCs/>
        </w:rPr>
        <w:t xml:space="preserve">See </w:t>
      </w:r>
      <w:r>
        <w:rPr>
          <w:i/>
          <w:iCs/>
        </w:rPr>
        <w:t>id</w:t>
      </w:r>
      <w:r w:rsidRPr="007D184C">
        <w:t>.</w:t>
      </w:r>
    </w:p>
  </w:footnote>
  <w:footnote w:id="15">
    <w:p w14:paraId="712E57EC" w14:textId="4FEB3FC2" w:rsidR="004868FC" w:rsidRPr="007D184C" w:rsidRDefault="001614E3" w:rsidP="007D184C">
      <w:pPr>
        <w:spacing w:after="40"/>
        <w:jc w:val="both"/>
        <w:rPr>
          <w:sz w:val="20"/>
          <w:szCs w:val="20"/>
        </w:rPr>
      </w:pPr>
      <w:r w:rsidRPr="007D184C">
        <w:rPr>
          <w:rStyle w:val="FootnoteReference"/>
          <w:sz w:val="20"/>
          <w:szCs w:val="20"/>
        </w:rPr>
        <w:footnoteRef/>
      </w:r>
      <w:r w:rsidR="007D184C">
        <w:rPr>
          <w:i/>
          <w:iCs/>
          <w:sz w:val="20"/>
          <w:szCs w:val="20"/>
        </w:rPr>
        <w:t xml:space="preserve"> </w:t>
      </w:r>
      <w:r w:rsidRPr="007D184C">
        <w:rPr>
          <w:i/>
          <w:iCs/>
          <w:sz w:val="20"/>
          <w:szCs w:val="20"/>
        </w:rPr>
        <w:t xml:space="preserve">See </w:t>
      </w:r>
      <w:r w:rsidRPr="00DE1ACD">
        <w:rPr>
          <w:smallCaps/>
          <w:sz w:val="20"/>
          <w:szCs w:val="20"/>
        </w:rPr>
        <w:t>Mayor’s Office of Contract Servs.</w:t>
      </w:r>
      <w:r w:rsidRPr="007D184C">
        <w:rPr>
          <w:sz w:val="20"/>
          <w:szCs w:val="20"/>
        </w:rPr>
        <w:t xml:space="preserve">, </w:t>
      </w:r>
      <w:r w:rsidRPr="00DE1ACD">
        <w:rPr>
          <w:smallCaps/>
          <w:sz w:val="20"/>
          <w:szCs w:val="20"/>
        </w:rPr>
        <w:t>Procurement Policy Board</w:t>
      </w:r>
      <w:r w:rsidRPr="007D184C">
        <w:rPr>
          <w:sz w:val="20"/>
          <w:szCs w:val="20"/>
        </w:rPr>
        <w:t xml:space="preserve">, </w:t>
      </w:r>
      <w:r w:rsidRPr="007D184C">
        <w:rPr>
          <w:i/>
          <w:iCs/>
          <w:sz w:val="20"/>
          <w:szCs w:val="20"/>
        </w:rPr>
        <w:t>Notice of Adoption of Rules</w:t>
      </w:r>
      <w:r w:rsidRPr="007D184C">
        <w:rPr>
          <w:sz w:val="20"/>
          <w:szCs w:val="20"/>
        </w:rPr>
        <w:t xml:space="preserve"> (Nov. 21, 2024), https://www.nyc.gov/assets/mocs/downloads/Regulations/PPB/PPBAgenda1_20241121.pdf.</w:t>
      </w:r>
    </w:p>
  </w:footnote>
  <w:footnote w:id="16">
    <w:p w14:paraId="19EFF9C3" w14:textId="300C5008" w:rsidR="004868FC" w:rsidRPr="007D184C" w:rsidRDefault="001614E3" w:rsidP="007D184C">
      <w:pPr>
        <w:spacing w:after="40"/>
        <w:jc w:val="both"/>
        <w:rPr>
          <w:sz w:val="20"/>
          <w:szCs w:val="20"/>
        </w:rPr>
      </w:pPr>
      <w:r w:rsidRPr="007D184C">
        <w:rPr>
          <w:rStyle w:val="FootnoteReference"/>
          <w:sz w:val="20"/>
          <w:szCs w:val="20"/>
        </w:rPr>
        <w:footnoteRef/>
      </w:r>
      <w:r w:rsidR="007D184C">
        <w:rPr>
          <w:i/>
          <w:iCs/>
          <w:sz w:val="20"/>
          <w:szCs w:val="20"/>
        </w:rPr>
        <w:t xml:space="preserve"> See </w:t>
      </w:r>
      <w:r w:rsidRPr="009572C8">
        <w:rPr>
          <w:smallCaps/>
          <w:sz w:val="20"/>
          <w:szCs w:val="20"/>
        </w:rPr>
        <w:t>Office of N.Y.C. Comptroller, The Monty Hall Contracts: Unchecked Spending Across the City’s Master Agreements</w:t>
      </w:r>
      <w:r w:rsidRPr="007D184C">
        <w:rPr>
          <w:sz w:val="20"/>
          <w:szCs w:val="20"/>
        </w:rPr>
        <w:t xml:space="preserve"> (May 6, 2026),</w:t>
      </w:r>
      <w:r w:rsidR="007D184C">
        <w:rPr>
          <w:sz w:val="20"/>
          <w:szCs w:val="20"/>
        </w:rPr>
        <w:t xml:space="preserve"> </w:t>
      </w:r>
      <w:r w:rsidRPr="007D184C">
        <w:rPr>
          <w:sz w:val="20"/>
          <w:szCs w:val="20"/>
        </w:rPr>
        <w:t>https://comptroller.nyc.gov/reports/the-monty-hall-contracts-unchecked-spending-across-the-citys-master-agreements</w:t>
      </w:r>
      <w:r w:rsidR="00F41579">
        <w:rPr>
          <w:sz w:val="20"/>
          <w:szCs w:val="20"/>
        </w:rPr>
        <w:t xml:space="preserve"> [hereinafter </w:t>
      </w:r>
      <w:r w:rsidR="00F41579">
        <w:rPr>
          <w:smallCaps/>
          <w:sz w:val="20"/>
          <w:szCs w:val="20"/>
        </w:rPr>
        <w:t>Monty Hall</w:t>
      </w:r>
      <w:r w:rsidR="00F41579" w:rsidRPr="009572C8">
        <w:rPr>
          <w:sz w:val="20"/>
          <w:szCs w:val="20"/>
        </w:rPr>
        <w:t>]</w:t>
      </w:r>
      <w:r w:rsidRPr="007D184C">
        <w:rPr>
          <w:sz w:val="20"/>
          <w:szCs w:val="20"/>
        </w:rPr>
        <w:t>.</w:t>
      </w:r>
    </w:p>
  </w:footnote>
  <w:footnote w:id="17">
    <w:p w14:paraId="264D7F70" w14:textId="636712C7" w:rsidR="004868FC" w:rsidRPr="0096457A" w:rsidRDefault="001614E3" w:rsidP="007D184C">
      <w:pPr>
        <w:spacing w:after="40"/>
        <w:jc w:val="both"/>
        <w:rPr>
          <w:sz w:val="20"/>
          <w:szCs w:val="20"/>
        </w:rPr>
      </w:pPr>
      <w:r w:rsidRPr="007D184C">
        <w:rPr>
          <w:rStyle w:val="FootnoteReference"/>
          <w:sz w:val="20"/>
          <w:szCs w:val="20"/>
        </w:rPr>
        <w:footnoteRef/>
      </w:r>
      <w:r w:rsidR="0096457A">
        <w:rPr>
          <w:i/>
          <w:iCs/>
          <w:sz w:val="20"/>
          <w:szCs w:val="20"/>
        </w:rPr>
        <w:t xml:space="preserve"> </w:t>
      </w:r>
      <w:r w:rsidRPr="007D184C">
        <w:rPr>
          <w:i/>
          <w:iCs/>
          <w:sz w:val="20"/>
          <w:szCs w:val="20"/>
        </w:rPr>
        <w:t>See id.</w:t>
      </w:r>
      <w:r w:rsidR="0096457A">
        <w:rPr>
          <w:i/>
          <w:iCs/>
          <w:sz w:val="20"/>
          <w:szCs w:val="20"/>
        </w:rPr>
        <w:t xml:space="preserve"> </w:t>
      </w:r>
      <w:r w:rsidR="0096457A">
        <w:rPr>
          <w:sz w:val="20"/>
          <w:szCs w:val="20"/>
        </w:rPr>
        <w:t>at 2</w:t>
      </w:r>
      <w:r w:rsidR="005B3608">
        <w:rPr>
          <w:sz w:val="20"/>
          <w:szCs w:val="20"/>
        </w:rPr>
        <w:t>–</w:t>
      </w:r>
      <w:r w:rsidR="0096457A">
        <w:rPr>
          <w:sz w:val="20"/>
          <w:szCs w:val="20"/>
        </w:rPr>
        <w:t>3.</w:t>
      </w:r>
    </w:p>
  </w:footnote>
  <w:footnote w:id="18">
    <w:p w14:paraId="061EBE1D" w14:textId="38C40E88" w:rsidR="004868FC" w:rsidRPr="0096457A" w:rsidRDefault="001614E3" w:rsidP="007D184C">
      <w:pPr>
        <w:spacing w:after="40"/>
        <w:jc w:val="both"/>
        <w:rPr>
          <w:sz w:val="20"/>
          <w:szCs w:val="20"/>
        </w:rPr>
      </w:pPr>
      <w:r w:rsidRPr="007D184C">
        <w:rPr>
          <w:rStyle w:val="FootnoteReference"/>
          <w:sz w:val="20"/>
          <w:szCs w:val="20"/>
        </w:rPr>
        <w:footnoteRef/>
      </w:r>
      <w:r w:rsidRPr="007D184C">
        <w:rPr>
          <w:i/>
          <w:iCs/>
          <w:sz w:val="20"/>
          <w:szCs w:val="20"/>
        </w:rPr>
        <w:t>See id</w:t>
      </w:r>
      <w:r w:rsidR="0096457A">
        <w:rPr>
          <w:i/>
          <w:iCs/>
          <w:sz w:val="20"/>
          <w:szCs w:val="20"/>
        </w:rPr>
        <w:t xml:space="preserve">. </w:t>
      </w:r>
      <w:r w:rsidR="0096457A">
        <w:rPr>
          <w:sz w:val="20"/>
          <w:szCs w:val="20"/>
        </w:rPr>
        <w:t>at 3.</w:t>
      </w:r>
    </w:p>
  </w:footnote>
  <w:footnote w:id="19">
    <w:p w14:paraId="64700A84" w14:textId="056FA500" w:rsidR="004868FC" w:rsidRPr="0096457A" w:rsidRDefault="001614E3" w:rsidP="007D184C">
      <w:pPr>
        <w:spacing w:after="40"/>
        <w:jc w:val="both"/>
        <w:rPr>
          <w:sz w:val="20"/>
          <w:szCs w:val="20"/>
        </w:rPr>
      </w:pPr>
      <w:r w:rsidRPr="007D184C">
        <w:rPr>
          <w:rStyle w:val="FootnoteReference"/>
          <w:sz w:val="20"/>
          <w:szCs w:val="20"/>
        </w:rPr>
        <w:footnoteRef/>
      </w:r>
      <w:r w:rsidRPr="007D184C">
        <w:rPr>
          <w:i/>
          <w:iCs/>
          <w:sz w:val="20"/>
          <w:szCs w:val="20"/>
        </w:rPr>
        <w:t>See id.</w:t>
      </w:r>
      <w:r w:rsidR="0096457A">
        <w:rPr>
          <w:sz w:val="20"/>
          <w:szCs w:val="20"/>
        </w:rPr>
        <w:t xml:space="preserve"> at 8.</w:t>
      </w:r>
    </w:p>
  </w:footnote>
  <w:footnote w:id="20">
    <w:p w14:paraId="39505BB2" w14:textId="186769AD" w:rsidR="004868FC" w:rsidRPr="007D184C" w:rsidRDefault="001614E3" w:rsidP="007D184C">
      <w:pPr>
        <w:spacing w:after="40"/>
        <w:jc w:val="both"/>
        <w:rPr>
          <w:sz w:val="20"/>
          <w:szCs w:val="20"/>
        </w:rPr>
      </w:pPr>
      <w:r w:rsidRPr="007D184C">
        <w:rPr>
          <w:rStyle w:val="FootnoteReference"/>
          <w:sz w:val="20"/>
          <w:szCs w:val="20"/>
        </w:rPr>
        <w:footnoteRef/>
      </w:r>
      <w:r w:rsidR="0096457A">
        <w:rPr>
          <w:i/>
          <w:iCs/>
          <w:sz w:val="20"/>
          <w:szCs w:val="20"/>
        </w:rPr>
        <w:t xml:space="preserve"> </w:t>
      </w:r>
      <w:r w:rsidRPr="007D184C">
        <w:rPr>
          <w:i/>
          <w:iCs/>
          <w:sz w:val="20"/>
          <w:szCs w:val="20"/>
        </w:rPr>
        <w:t>See id.</w:t>
      </w:r>
      <w:r w:rsidRPr="007D184C">
        <w:rPr>
          <w:sz w:val="20"/>
          <w:szCs w:val="20"/>
        </w:rPr>
        <w:t xml:space="preserve"> (finding, among other things, that of Master Agreements with completed terms registered since 2015, agencies spent less than half of the estimated value on roughly one in three contracts and </w:t>
      </w:r>
      <w:r w:rsidR="0096457A">
        <w:rPr>
          <w:sz w:val="20"/>
          <w:szCs w:val="20"/>
        </w:rPr>
        <w:t xml:space="preserve">further </w:t>
      </w:r>
      <w:r w:rsidRPr="007D184C">
        <w:rPr>
          <w:sz w:val="20"/>
          <w:szCs w:val="20"/>
        </w:rPr>
        <w:t>overspent the estimate on roughly one in three, with overspending on those contracts exceeding $3.1 billion in the aggregate).</w:t>
      </w:r>
    </w:p>
  </w:footnote>
  <w:footnote w:id="21">
    <w:p w14:paraId="5ADA8B29" w14:textId="04484E43" w:rsidR="004868FC" w:rsidRPr="0096457A" w:rsidRDefault="001614E3" w:rsidP="007D184C">
      <w:pPr>
        <w:spacing w:after="40"/>
        <w:jc w:val="both"/>
        <w:rPr>
          <w:sz w:val="20"/>
          <w:szCs w:val="20"/>
        </w:rPr>
      </w:pPr>
      <w:r w:rsidRPr="007D184C">
        <w:rPr>
          <w:rStyle w:val="FootnoteReference"/>
          <w:sz w:val="20"/>
          <w:szCs w:val="20"/>
        </w:rPr>
        <w:footnoteRef/>
      </w:r>
      <w:r w:rsidR="0096457A">
        <w:rPr>
          <w:i/>
          <w:iCs/>
          <w:sz w:val="20"/>
          <w:szCs w:val="20"/>
        </w:rPr>
        <w:t xml:space="preserve"> </w:t>
      </w:r>
      <w:r w:rsidRPr="007D184C">
        <w:rPr>
          <w:i/>
          <w:iCs/>
          <w:sz w:val="20"/>
          <w:szCs w:val="20"/>
        </w:rPr>
        <w:t>See id.</w:t>
      </w:r>
      <w:r w:rsidR="0096457A">
        <w:rPr>
          <w:i/>
          <w:iCs/>
          <w:sz w:val="20"/>
          <w:szCs w:val="20"/>
        </w:rPr>
        <w:t xml:space="preserve"> </w:t>
      </w:r>
      <w:r w:rsidR="0096457A">
        <w:rPr>
          <w:sz w:val="20"/>
          <w:szCs w:val="20"/>
        </w:rPr>
        <w:t>at 16</w:t>
      </w:r>
      <w:r w:rsidR="009572C8">
        <w:rPr>
          <w:sz w:val="20"/>
          <w:szCs w:val="20"/>
        </w:rPr>
        <w:t>–</w:t>
      </w:r>
      <w:r w:rsidR="0096457A">
        <w:rPr>
          <w:sz w:val="20"/>
          <w:szCs w:val="20"/>
        </w:rPr>
        <w:t>17</w:t>
      </w:r>
      <w:r w:rsidR="00F41579">
        <w:rPr>
          <w:sz w:val="20"/>
          <w:szCs w:val="20"/>
        </w:rPr>
        <w:t xml:space="preserve">; </w:t>
      </w:r>
      <w:r w:rsidR="00F41579">
        <w:rPr>
          <w:i/>
          <w:iCs/>
          <w:sz w:val="20"/>
          <w:szCs w:val="20"/>
        </w:rPr>
        <w:t>Home Page</w:t>
      </w:r>
      <w:r w:rsidR="00F41579">
        <w:rPr>
          <w:sz w:val="20"/>
          <w:szCs w:val="20"/>
        </w:rPr>
        <w:t xml:space="preserve">, </w:t>
      </w:r>
      <w:r w:rsidR="00F41579">
        <w:rPr>
          <w:smallCaps/>
          <w:sz w:val="20"/>
          <w:szCs w:val="20"/>
        </w:rPr>
        <w:t>Garner</w:t>
      </w:r>
      <w:r w:rsidR="00F41579">
        <w:rPr>
          <w:sz w:val="20"/>
          <w:szCs w:val="20"/>
        </w:rPr>
        <w:t>, https://garner-es.com (last visited June 5, 2026)</w:t>
      </w:r>
      <w:r w:rsidR="0096457A">
        <w:rPr>
          <w:sz w:val="20"/>
          <w:szCs w:val="20"/>
        </w:rPr>
        <w:t>.</w:t>
      </w:r>
    </w:p>
  </w:footnote>
  <w:footnote w:id="22">
    <w:p w14:paraId="00A903BB" w14:textId="0D7D9E18" w:rsidR="00F41579" w:rsidRPr="00F41579" w:rsidRDefault="00F41579">
      <w:pPr>
        <w:pStyle w:val="FootnoteText"/>
      </w:pPr>
      <w:r>
        <w:rPr>
          <w:rStyle w:val="FootnoteReference"/>
        </w:rPr>
        <w:footnoteRef/>
      </w:r>
      <w:r>
        <w:t xml:space="preserve"> </w:t>
      </w:r>
      <w:r>
        <w:rPr>
          <w:smallCaps/>
        </w:rPr>
        <w:t>Asylum Contracts</w:t>
      </w:r>
      <w:r>
        <w:t xml:space="preserve">, </w:t>
      </w:r>
      <w:r>
        <w:rPr>
          <w:i/>
          <w:iCs/>
        </w:rPr>
        <w:t xml:space="preserve">supra </w:t>
      </w:r>
      <w:r>
        <w:t xml:space="preserve">note </w:t>
      </w:r>
      <w:r>
        <w:fldChar w:fldCharType="begin"/>
      </w:r>
      <w:r>
        <w:instrText xml:space="preserve"> NOTEREF _Ref231566801 \h </w:instrText>
      </w:r>
      <w:r>
        <w:fldChar w:fldCharType="separate"/>
      </w:r>
      <w:r>
        <w:t>2</w:t>
      </w:r>
      <w:r>
        <w:fldChar w:fldCharType="end"/>
      </w:r>
      <w:r>
        <w:t xml:space="preserve"> at 4.</w:t>
      </w:r>
    </w:p>
  </w:footnote>
  <w:footnote w:id="23">
    <w:p w14:paraId="263ED43C" w14:textId="7A99E301" w:rsidR="009572C8" w:rsidRPr="00DE1ACD" w:rsidRDefault="009572C8">
      <w:pPr>
        <w:pStyle w:val="FootnoteText"/>
        <w:rPr>
          <w:i/>
          <w:iCs/>
        </w:rPr>
      </w:pPr>
      <w:r>
        <w:rPr>
          <w:rStyle w:val="FootnoteReference"/>
        </w:rPr>
        <w:footnoteRef/>
      </w:r>
      <w:r>
        <w:t xml:space="preserve"> </w:t>
      </w:r>
      <w:r>
        <w:rPr>
          <w:i/>
          <w:iCs/>
        </w:rPr>
        <w:t>Id.</w:t>
      </w:r>
    </w:p>
  </w:footnote>
  <w:footnote w:id="24">
    <w:p w14:paraId="0D199963" w14:textId="09833317" w:rsidR="004868FC" w:rsidRPr="007D184C" w:rsidRDefault="001614E3" w:rsidP="007D184C">
      <w:pPr>
        <w:spacing w:after="40"/>
        <w:jc w:val="both"/>
        <w:rPr>
          <w:sz w:val="20"/>
          <w:szCs w:val="20"/>
        </w:rPr>
      </w:pPr>
      <w:r w:rsidRPr="007D184C">
        <w:rPr>
          <w:rStyle w:val="FootnoteReference"/>
          <w:sz w:val="20"/>
          <w:szCs w:val="20"/>
        </w:rPr>
        <w:footnoteRef/>
      </w:r>
      <w:r w:rsidR="0096457A">
        <w:rPr>
          <w:i/>
          <w:iCs/>
          <w:sz w:val="20"/>
          <w:szCs w:val="20"/>
        </w:rPr>
        <w:t xml:space="preserve"> </w:t>
      </w:r>
      <w:r w:rsidRPr="007D184C">
        <w:rPr>
          <w:i/>
          <w:iCs/>
          <w:sz w:val="20"/>
          <w:szCs w:val="20"/>
        </w:rPr>
        <w:t>See</w:t>
      </w:r>
      <w:r w:rsidR="009572C8">
        <w:rPr>
          <w:i/>
          <w:iCs/>
          <w:sz w:val="20"/>
          <w:szCs w:val="20"/>
        </w:rPr>
        <w:t xml:space="preserve"> </w:t>
      </w:r>
      <w:r w:rsidR="00AA71C8" w:rsidRPr="005C3B96">
        <w:rPr>
          <w:smallCaps/>
          <w:sz w:val="20"/>
          <w:szCs w:val="20"/>
        </w:rPr>
        <w:t>Monty Hall</w:t>
      </w:r>
      <w:r w:rsidR="00AA71C8" w:rsidRPr="0096457A">
        <w:rPr>
          <w:sz w:val="20"/>
          <w:szCs w:val="20"/>
        </w:rPr>
        <w:t>,</w:t>
      </w:r>
      <w:r w:rsidR="00AA71C8" w:rsidRPr="007D184C">
        <w:rPr>
          <w:sz w:val="20"/>
          <w:szCs w:val="20"/>
        </w:rPr>
        <w:t xml:space="preserve"> </w:t>
      </w:r>
      <w:r w:rsidR="00AA71C8">
        <w:rPr>
          <w:i/>
          <w:iCs/>
          <w:sz w:val="20"/>
          <w:szCs w:val="20"/>
        </w:rPr>
        <w:t xml:space="preserve">supra </w:t>
      </w:r>
      <w:r w:rsidR="00AA71C8">
        <w:rPr>
          <w:sz w:val="20"/>
          <w:szCs w:val="20"/>
        </w:rPr>
        <w:t xml:space="preserve">note </w:t>
      </w:r>
      <w:r w:rsidR="00AA71C8">
        <w:rPr>
          <w:sz w:val="20"/>
          <w:szCs w:val="20"/>
        </w:rPr>
        <w:fldChar w:fldCharType="begin"/>
      </w:r>
      <w:r w:rsidR="00AA71C8">
        <w:rPr>
          <w:sz w:val="20"/>
          <w:szCs w:val="20"/>
        </w:rPr>
        <w:instrText xml:space="preserve"> NOTEREF _Ref231566908 \h </w:instrText>
      </w:r>
      <w:r w:rsidR="00AA71C8">
        <w:rPr>
          <w:sz w:val="20"/>
          <w:szCs w:val="20"/>
        </w:rPr>
      </w:r>
      <w:r w:rsidR="00AA71C8">
        <w:rPr>
          <w:sz w:val="20"/>
          <w:szCs w:val="20"/>
        </w:rPr>
        <w:fldChar w:fldCharType="separate"/>
      </w:r>
      <w:r w:rsidR="00AA71C8">
        <w:rPr>
          <w:sz w:val="20"/>
          <w:szCs w:val="20"/>
        </w:rPr>
        <w:t>16</w:t>
      </w:r>
      <w:r w:rsidR="00AA71C8">
        <w:rPr>
          <w:sz w:val="20"/>
          <w:szCs w:val="20"/>
        </w:rPr>
        <w:fldChar w:fldCharType="end"/>
      </w:r>
      <w:r w:rsidR="002B5D6E">
        <w:rPr>
          <w:sz w:val="20"/>
          <w:szCs w:val="20"/>
        </w:rPr>
        <w:t xml:space="preserve"> </w:t>
      </w:r>
      <w:r w:rsidR="009572C8">
        <w:rPr>
          <w:sz w:val="20"/>
          <w:szCs w:val="20"/>
        </w:rPr>
        <w:t>at 16–17</w:t>
      </w:r>
      <w:r w:rsidRPr="007D184C">
        <w:rPr>
          <w:i/>
          <w:iCs/>
          <w:sz w:val="20"/>
          <w:szCs w:val="20"/>
        </w:rPr>
        <w:t>.</w:t>
      </w:r>
    </w:p>
  </w:footnote>
  <w:footnote w:id="25">
    <w:p w14:paraId="5418DBAE" w14:textId="2061CE25" w:rsidR="00411A5A" w:rsidRDefault="00411A5A">
      <w:pPr>
        <w:pStyle w:val="FootnoteText"/>
      </w:pPr>
      <w:r>
        <w:rPr>
          <w:rStyle w:val="FootnoteReference"/>
        </w:rPr>
        <w:footnoteRef/>
      </w:r>
      <w:r>
        <w:t xml:space="preserve"> </w:t>
      </w:r>
      <w:r>
        <w:rPr>
          <w:smallCaps/>
        </w:rPr>
        <w:t>Asylum Contracts</w:t>
      </w:r>
      <w:r>
        <w:t xml:space="preserve">, </w:t>
      </w:r>
      <w:r>
        <w:rPr>
          <w:i/>
          <w:iCs/>
        </w:rPr>
        <w:t xml:space="preserve">supra </w:t>
      </w:r>
      <w:r>
        <w:t xml:space="preserve">note </w:t>
      </w:r>
      <w:r>
        <w:fldChar w:fldCharType="begin"/>
      </w:r>
      <w:r>
        <w:instrText xml:space="preserve"> NOTEREF _Ref231566801 \h </w:instrText>
      </w:r>
      <w:r>
        <w:fldChar w:fldCharType="separate"/>
      </w:r>
      <w:r>
        <w:t>2</w:t>
      </w:r>
      <w:r>
        <w:fldChar w:fldCharType="end"/>
      </w:r>
      <w:r>
        <w:t xml:space="preserve"> at 18.</w:t>
      </w:r>
    </w:p>
  </w:footnote>
  <w:footnote w:id="26">
    <w:p w14:paraId="03CEC56B" w14:textId="1C4B1ED3" w:rsidR="00411A5A" w:rsidRPr="00B55BE8" w:rsidRDefault="00411A5A">
      <w:pPr>
        <w:pStyle w:val="FootnoteText"/>
        <w:rPr>
          <w:i/>
          <w:iCs/>
        </w:rPr>
      </w:pPr>
      <w:r>
        <w:rPr>
          <w:rStyle w:val="FootnoteReference"/>
        </w:rPr>
        <w:footnoteRef/>
      </w:r>
      <w:r>
        <w:t xml:space="preserve"> </w:t>
      </w:r>
      <w:r>
        <w:rPr>
          <w:i/>
          <w:iCs/>
        </w:rPr>
        <w:t>Id.</w:t>
      </w:r>
    </w:p>
  </w:footnote>
  <w:footnote w:id="27">
    <w:p w14:paraId="36C3986A" w14:textId="2ECD76CC" w:rsidR="00442627" w:rsidRDefault="00442627">
      <w:pPr>
        <w:pStyle w:val="FootnoteText"/>
      </w:pPr>
      <w:r>
        <w:rPr>
          <w:rStyle w:val="FootnoteReference"/>
        </w:rPr>
        <w:footnoteRef/>
      </w:r>
      <w:r>
        <w:t xml:space="preserve"> </w:t>
      </w:r>
      <w:r w:rsidR="00AA71C8" w:rsidRPr="005C3B96">
        <w:rPr>
          <w:smallCaps/>
        </w:rPr>
        <w:t>Monty Hall</w:t>
      </w:r>
      <w:r w:rsidR="00AA71C8" w:rsidRPr="0096457A">
        <w:t>,</w:t>
      </w:r>
      <w:r w:rsidR="00AA71C8" w:rsidRPr="007D184C">
        <w:t xml:space="preserve"> </w:t>
      </w:r>
      <w:r w:rsidR="00AA71C8">
        <w:rPr>
          <w:i/>
          <w:iCs/>
        </w:rPr>
        <w:t xml:space="preserve">supra </w:t>
      </w:r>
      <w:r w:rsidR="00AA71C8">
        <w:t xml:space="preserve">note </w:t>
      </w:r>
      <w:r w:rsidR="00AA71C8">
        <w:fldChar w:fldCharType="begin"/>
      </w:r>
      <w:r w:rsidR="00AA71C8">
        <w:instrText xml:space="preserve"> NOTEREF _Ref231566908 \h </w:instrText>
      </w:r>
      <w:r w:rsidR="00AA71C8">
        <w:fldChar w:fldCharType="separate"/>
      </w:r>
      <w:r w:rsidR="00AA71C8">
        <w:t>16</w:t>
      </w:r>
      <w:r w:rsidR="00AA71C8">
        <w:fldChar w:fldCharType="end"/>
      </w:r>
      <w:r w:rsidR="002B5D6E">
        <w:t xml:space="preserve"> </w:t>
      </w:r>
      <w:r>
        <w:t>at 16.</w:t>
      </w:r>
    </w:p>
  </w:footnote>
  <w:footnote w:id="28">
    <w:p w14:paraId="2A1E1740" w14:textId="0AE710E4" w:rsidR="004868FC" w:rsidRPr="007D184C" w:rsidRDefault="001614E3" w:rsidP="007D184C">
      <w:pPr>
        <w:spacing w:after="40"/>
        <w:jc w:val="both"/>
        <w:rPr>
          <w:sz w:val="20"/>
          <w:szCs w:val="20"/>
        </w:rPr>
      </w:pPr>
      <w:r w:rsidRPr="007D184C">
        <w:rPr>
          <w:rStyle w:val="FootnoteReference"/>
          <w:sz w:val="20"/>
          <w:szCs w:val="20"/>
        </w:rPr>
        <w:footnoteRef/>
      </w:r>
      <w:r w:rsidR="0096457A">
        <w:rPr>
          <w:i/>
          <w:iCs/>
          <w:sz w:val="20"/>
          <w:szCs w:val="20"/>
        </w:rPr>
        <w:t xml:space="preserve"> </w:t>
      </w:r>
      <w:r w:rsidR="00442627">
        <w:rPr>
          <w:i/>
          <w:iCs/>
          <w:sz w:val="20"/>
          <w:szCs w:val="20"/>
        </w:rPr>
        <w:t>Id</w:t>
      </w:r>
      <w:r w:rsidRPr="007D184C">
        <w:rPr>
          <w:i/>
          <w:iCs/>
          <w:sz w:val="20"/>
          <w:szCs w:val="20"/>
        </w:rPr>
        <w:t>.</w:t>
      </w:r>
    </w:p>
  </w:footnote>
  <w:footnote w:id="29">
    <w:p w14:paraId="4D19015C" w14:textId="37C0680E" w:rsidR="00442627" w:rsidRPr="00442627" w:rsidRDefault="00442627">
      <w:pPr>
        <w:pStyle w:val="FootnoteText"/>
      </w:pPr>
      <w:r>
        <w:rPr>
          <w:rStyle w:val="FootnoteReference"/>
        </w:rPr>
        <w:footnoteRef/>
      </w:r>
      <w:r>
        <w:t xml:space="preserve"> </w:t>
      </w:r>
      <w:r>
        <w:rPr>
          <w:i/>
          <w:iCs/>
        </w:rPr>
        <w:t xml:space="preserve">See id. </w:t>
      </w:r>
      <w:r>
        <w:t>at 17.</w:t>
      </w:r>
    </w:p>
  </w:footnote>
  <w:footnote w:id="30">
    <w:p w14:paraId="743FCBEE" w14:textId="5BBE38A5" w:rsidR="007D184C" w:rsidRPr="0096457A" w:rsidRDefault="007D184C" w:rsidP="007D184C">
      <w:pPr>
        <w:pStyle w:val="FootnoteText"/>
      </w:pPr>
      <w:r w:rsidRPr="007D184C">
        <w:rPr>
          <w:rStyle w:val="FootnoteReference"/>
        </w:rPr>
        <w:footnoteRef/>
      </w:r>
      <w:r w:rsidRPr="007D184C">
        <w:t xml:space="preserve"> </w:t>
      </w:r>
      <w:r w:rsidRPr="007D184C">
        <w:rPr>
          <w:i/>
          <w:iCs/>
        </w:rPr>
        <w:t>See id</w:t>
      </w:r>
      <w:r w:rsidR="0096457A">
        <w:rPr>
          <w:i/>
          <w:iCs/>
        </w:rPr>
        <w:t xml:space="preserve">. </w:t>
      </w:r>
      <w:r w:rsidR="0096457A" w:rsidRPr="0096457A">
        <w:t>at 10</w:t>
      </w:r>
      <w:r w:rsidR="009572C8">
        <w:t>–</w:t>
      </w:r>
      <w:r w:rsidR="0096457A" w:rsidRPr="0096457A">
        <w:t>11</w:t>
      </w:r>
      <w:r w:rsidRPr="0096457A">
        <w:t>.</w:t>
      </w:r>
    </w:p>
  </w:footnote>
  <w:footnote w:id="31">
    <w:p w14:paraId="5F6EB323" w14:textId="0C322F2D" w:rsidR="004868FC" w:rsidRPr="0096457A" w:rsidRDefault="001614E3" w:rsidP="007D184C">
      <w:pPr>
        <w:spacing w:after="40"/>
        <w:jc w:val="both"/>
        <w:rPr>
          <w:sz w:val="20"/>
          <w:szCs w:val="20"/>
        </w:rPr>
      </w:pPr>
      <w:r w:rsidRPr="007D184C">
        <w:rPr>
          <w:rStyle w:val="FootnoteReference"/>
          <w:sz w:val="20"/>
          <w:szCs w:val="20"/>
        </w:rPr>
        <w:footnoteRef/>
      </w:r>
      <w:r w:rsidR="0096457A">
        <w:rPr>
          <w:i/>
          <w:iCs/>
          <w:sz w:val="20"/>
          <w:szCs w:val="20"/>
        </w:rPr>
        <w:t xml:space="preserve"> </w:t>
      </w:r>
      <w:r w:rsidRPr="007D184C">
        <w:rPr>
          <w:i/>
          <w:iCs/>
          <w:sz w:val="20"/>
          <w:szCs w:val="20"/>
        </w:rPr>
        <w:t>See id</w:t>
      </w:r>
      <w:r w:rsidR="0096457A">
        <w:rPr>
          <w:i/>
          <w:iCs/>
          <w:sz w:val="20"/>
          <w:szCs w:val="20"/>
        </w:rPr>
        <w:t>.</w:t>
      </w:r>
      <w:r w:rsidR="0096457A">
        <w:rPr>
          <w:sz w:val="20"/>
          <w:szCs w:val="20"/>
        </w:rPr>
        <w:t xml:space="preserve"> at 10, 17</w:t>
      </w:r>
      <w:r w:rsidR="0096457A">
        <w:rPr>
          <w:i/>
          <w:iCs/>
          <w:sz w:val="20"/>
          <w:szCs w:val="20"/>
        </w:rPr>
        <w:t xml:space="preserve"> </w:t>
      </w:r>
      <w:r w:rsidRPr="007D184C">
        <w:rPr>
          <w:sz w:val="20"/>
          <w:szCs w:val="20"/>
        </w:rPr>
        <w:t>(reporting that</w:t>
      </w:r>
      <w:r w:rsidR="0096457A">
        <w:rPr>
          <w:sz w:val="20"/>
          <w:szCs w:val="20"/>
        </w:rPr>
        <w:t xml:space="preserve"> </w:t>
      </w:r>
      <w:r w:rsidRPr="007D184C">
        <w:rPr>
          <w:sz w:val="20"/>
          <w:szCs w:val="20"/>
        </w:rPr>
        <w:t xml:space="preserve">OTI </w:t>
      </w:r>
      <w:r w:rsidR="0096457A">
        <w:rPr>
          <w:sz w:val="20"/>
          <w:szCs w:val="20"/>
        </w:rPr>
        <w:t xml:space="preserve">sometimes </w:t>
      </w:r>
      <w:r w:rsidRPr="007D184C">
        <w:rPr>
          <w:sz w:val="20"/>
          <w:szCs w:val="20"/>
        </w:rPr>
        <w:t xml:space="preserve">did not provide the Comptroller with documentation identifying the providers covered by these </w:t>
      </w:r>
      <w:r w:rsidR="0096457A">
        <w:rPr>
          <w:sz w:val="20"/>
          <w:szCs w:val="20"/>
        </w:rPr>
        <w:t xml:space="preserve">large </w:t>
      </w:r>
      <w:r w:rsidRPr="007D184C">
        <w:rPr>
          <w:sz w:val="20"/>
          <w:szCs w:val="20"/>
        </w:rPr>
        <w:t>contracts).</w:t>
      </w:r>
      <w:r w:rsidR="0096457A">
        <w:rPr>
          <w:sz w:val="20"/>
          <w:szCs w:val="20"/>
        </w:rPr>
        <w:t xml:space="preserve"> </w:t>
      </w:r>
    </w:p>
  </w:footnote>
  <w:footnote w:id="32">
    <w:p w14:paraId="04184429" w14:textId="18016DD1" w:rsidR="00083C0A" w:rsidRPr="00B55BE8" w:rsidRDefault="00083C0A">
      <w:pPr>
        <w:pStyle w:val="FootnoteText"/>
        <w:rPr>
          <w:i/>
          <w:iCs/>
        </w:rPr>
      </w:pPr>
      <w:r>
        <w:rPr>
          <w:rStyle w:val="FootnoteReference"/>
        </w:rPr>
        <w:footnoteRef/>
      </w:r>
      <w:r>
        <w:t xml:space="preserve"> </w:t>
      </w:r>
      <w:r w:rsidRPr="00B55BE8">
        <w:rPr>
          <w:i/>
          <w:iCs/>
        </w:rPr>
        <w:t>CDW Reports Fourth Quarter and Full Year 2025 Earnings</w:t>
      </w:r>
      <w:r>
        <w:t xml:space="preserve">, </w:t>
      </w:r>
      <w:r>
        <w:rPr>
          <w:smallCaps/>
        </w:rPr>
        <w:t xml:space="preserve">CDW </w:t>
      </w:r>
      <w:r>
        <w:t xml:space="preserve">(Feb. 4, 2026), </w:t>
      </w:r>
      <w:r w:rsidRPr="00083C0A">
        <w:t>https://investor.cdw.com/news/news-details/2026/CDW-Reports-Fourth-Quarter-and-Full-Year-2025-Earnings/default.aspx</w:t>
      </w:r>
      <w:r>
        <w:t xml:space="preserve"> (last visited June 5, 2026).</w:t>
      </w:r>
    </w:p>
  </w:footnote>
  <w:footnote w:id="33">
    <w:p w14:paraId="4C167783" w14:textId="293FD37D" w:rsidR="00FB7C05" w:rsidRDefault="00FB7C05">
      <w:pPr>
        <w:pStyle w:val="FootnoteText"/>
      </w:pPr>
      <w:r>
        <w:rPr>
          <w:rStyle w:val="FootnoteReference"/>
        </w:rPr>
        <w:footnoteRef/>
      </w:r>
      <w:r>
        <w:t xml:space="preserve"> </w:t>
      </w:r>
      <w:r>
        <w:rPr>
          <w:i/>
          <w:iCs/>
        </w:rPr>
        <w:t xml:space="preserve">See </w:t>
      </w:r>
      <w:r>
        <w:t>Garber &amp; Groz,</w:t>
      </w:r>
      <w:r>
        <w:rPr>
          <w:i/>
          <w:iCs/>
        </w:rPr>
        <w:t xml:space="preserve"> supra</w:t>
      </w:r>
      <w:r>
        <w:t xml:space="preserve"> note </w:t>
      </w:r>
      <w:r>
        <w:fldChar w:fldCharType="begin"/>
      </w:r>
      <w:r>
        <w:instrText xml:space="preserve"> NOTEREF _Ref231568749 \h </w:instrText>
      </w:r>
      <w:r>
        <w:fldChar w:fldCharType="separate"/>
      </w:r>
      <w:r>
        <w:t>10</w:t>
      </w:r>
      <w:r>
        <w:fldChar w:fldCharType="end"/>
      </w:r>
      <w:r>
        <w:t>.</w:t>
      </w:r>
    </w:p>
  </w:footnote>
  <w:footnote w:id="34">
    <w:p w14:paraId="72146676" w14:textId="27092789" w:rsidR="00163DF0" w:rsidRPr="00CA3E8C" w:rsidRDefault="00163DF0">
      <w:pPr>
        <w:pStyle w:val="FootnoteText"/>
      </w:pPr>
      <w:r>
        <w:rPr>
          <w:rStyle w:val="FootnoteReference"/>
        </w:rPr>
        <w:footnoteRef/>
      </w:r>
      <w:r>
        <w:t xml:space="preserve"> </w:t>
      </w:r>
      <w:r w:rsidR="000F2CD9">
        <w:t xml:space="preserve">Garber </w:t>
      </w:r>
      <w:r w:rsidR="00CA3E8C">
        <w:t>&amp;</w:t>
      </w:r>
      <w:r w:rsidR="000F2CD9">
        <w:t xml:space="preserve"> Groz,</w:t>
      </w:r>
      <w:r w:rsidR="00CA3E8C">
        <w:rPr>
          <w:i/>
          <w:iCs/>
        </w:rPr>
        <w:t xml:space="preserve"> supra</w:t>
      </w:r>
      <w:r w:rsidR="00CA3E8C">
        <w:t xml:space="preserve"> note </w:t>
      </w:r>
      <w:r w:rsidR="00083C0A">
        <w:fldChar w:fldCharType="begin"/>
      </w:r>
      <w:r w:rsidR="00083C0A">
        <w:instrText xml:space="preserve"> NOTEREF _Ref231568749 \h </w:instrText>
      </w:r>
      <w:r w:rsidR="00083C0A">
        <w:fldChar w:fldCharType="separate"/>
      </w:r>
      <w:r w:rsidR="00083C0A">
        <w:t>10</w:t>
      </w:r>
      <w:r w:rsidR="00083C0A">
        <w:fldChar w:fldCharType="end"/>
      </w:r>
      <w:r w:rsidR="00083C0A">
        <w:t>.</w:t>
      </w:r>
    </w:p>
  </w:footnote>
  <w:footnote w:id="35">
    <w:p w14:paraId="6CF36E4D" w14:textId="430B798B" w:rsidR="00AC60CB" w:rsidRPr="00AC60CB" w:rsidRDefault="00AC60CB">
      <w:pPr>
        <w:pStyle w:val="FootnoteText"/>
      </w:pPr>
      <w:r>
        <w:rPr>
          <w:rStyle w:val="FootnoteReference"/>
        </w:rPr>
        <w:footnoteRef/>
      </w:r>
      <w:r>
        <w:t xml:space="preserve"> </w:t>
      </w:r>
      <w:r>
        <w:rPr>
          <w:i/>
          <w:iCs/>
        </w:rPr>
        <w:t>See</w:t>
      </w:r>
      <w:r>
        <w:t xml:space="preserve"> Zachary Groz, </w:t>
      </w:r>
      <w:r>
        <w:rPr>
          <w:i/>
          <w:iCs/>
        </w:rPr>
        <w:t>Inside Eric Adams’s School Chromebook Spending Spree</w:t>
      </w:r>
      <w:r>
        <w:t xml:space="preserve">, </w:t>
      </w:r>
      <w:r>
        <w:rPr>
          <w:smallCaps/>
        </w:rPr>
        <w:t xml:space="preserve">N.Y.S. Focus </w:t>
      </w:r>
      <w:r>
        <w:t xml:space="preserve">(Dec. 22, 2025), </w:t>
      </w:r>
      <w:r w:rsidR="005B3608" w:rsidRPr="00DA7B48">
        <w:t>https://nysfocus.com/2025/12/22/eric-adams-school-chromebooks-contract</w:t>
      </w:r>
      <w:r>
        <w:t>.</w:t>
      </w:r>
    </w:p>
  </w:footnote>
  <w:footnote w:id="36">
    <w:p w14:paraId="095401CE" w14:textId="7FD3815D" w:rsidR="00F75B8B" w:rsidRPr="00585B3F" w:rsidRDefault="00F75B8B">
      <w:pPr>
        <w:pStyle w:val="FootnoteText"/>
      </w:pPr>
      <w:r>
        <w:rPr>
          <w:rStyle w:val="FootnoteReference"/>
        </w:rPr>
        <w:footnoteRef/>
      </w:r>
      <w:r>
        <w:t xml:space="preserve"> </w:t>
      </w:r>
      <w:r w:rsidR="00AC60CB">
        <w:rPr>
          <w:i/>
          <w:iCs/>
        </w:rPr>
        <w:t>Id.</w:t>
      </w:r>
    </w:p>
  </w:footnote>
  <w:footnote w:id="37">
    <w:p w14:paraId="1CD9FF96" w14:textId="6612C4B0" w:rsidR="002C5750" w:rsidRDefault="002C5750">
      <w:pPr>
        <w:pStyle w:val="FootnoteText"/>
      </w:pPr>
      <w:r>
        <w:rPr>
          <w:rStyle w:val="FootnoteReference"/>
        </w:rPr>
        <w:footnoteRef/>
      </w:r>
      <w:r>
        <w:t xml:space="preserve"> Garber &amp; Groz,</w:t>
      </w:r>
      <w:r>
        <w:rPr>
          <w:i/>
          <w:iCs/>
        </w:rPr>
        <w:t xml:space="preserve"> supra</w:t>
      </w:r>
      <w:r>
        <w:t xml:space="preserve"> note </w:t>
      </w:r>
      <w:r>
        <w:fldChar w:fldCharType="begin"/>
      </w:r>
      <w:r>
        <w:instrText xml:space="preserve"> NOTEREF _Ref231568749 \h </w:instrText>
      </w:r>
      <w:r>
        <w:fldChar w:fldCharType="separate"/>
      </w:r>
      <w:r>
        <w:t>10</w:t>
      </w:r>
      <w:r>
        <w:fldChar w:fldCharType="end"/>
      </w:r>
      <w:r>
        <w:t>.</w:t>
      </w:r>
    </w:p>
  </w:footnote>
  <w:footnote w:id="38">
    <w:p w14:paraId="44306235" w14:textId="332EE791" w:rsidR="00AC60CB" w:rsidRPr="0096457A" w:rsidRDefault="00AC60CB" w:rsidP="00AC60CB">
      <w:pPr>
        <w:tabs>
          <w:tab w:val="left" w:pos="1828"/>
        </w:tabs>
        <w:spacing w:after="40"/>
        <w:jc w:val="both"/>
        <w:rPr>
          <w:sz w:val="20"/>
          <w:szCs w:val="20"/>
        </w:rPr>
      </w:pPr>
      <w:r w:rsidRPr="007D184C">
        <w:rPr>
          <w:rStyle w:val="FootnoteReference"/>
          <w:sz w:val="20"/>
          <w:szCs w:val="20"/>
        </w:rPr>
        <w:footnoteRef/>
      </w:r>
      <w:r>
        <w:rPr>
          <w:i/>
          <w:iCs/>
          <w:sz w:val="20"/>
          <w:szCs w:val="20"/>
        </w:rPr>
        <w:t xml:space="preserve"> </w:t>
      </w:r>
      <w:r w:rsidRPr="007D184C">
        <w:rPr>
          <w:i/>
          <w:iCs/>
          <w:sz w:val="20"/>
          <w:szCs w:val="20"/>
        </w:rPr>
        <w:t xml:space="preserve">See </w:t>
      </w:r>
      <w:r w:rsidR="00AA71C8" w:rsidRPr="005C3B96">
        <w:rPr>
          <w:smallCaps/>
          <w:sz w:val="20"/>
          <w:szCs w:val="20"/>
        </w:rPr>
        <w:t>Monty Hall</w:t>
      </w:r>
      <w:r w:rsidR="00AA71C8" w:rsidRPr="0096457A">
        <w:rPr>
          <w:sz w:val="20"/>
          <w:szCs w:val="20"/>
        </w:rPr>
        <w:t>,</w:t>
      </w:r>
      <w:r w:rsidR="00AA71C8" w:rsidRPr="007D184C">
        <w:rPr>
          <w:sz w:val="20"/>
          <w:szCs w:val="20"/>
        </w:rPr>
        <w:t xml:space="preserve"> </w:t>
      </w:r>
      <w:r w:rsidR="00AA71C8">
        <w:rPr>
          <w:i/>
          <w:iCs/>
          <w:sz w:val="20"/>
          <w:szCs w:val="20"/>
        </w:rPr>
        <w:t xml:space="preserve">supra </w:t>
      </w:r>
      <w:r w:rsidR="00AA71C8">
        <w:rPr>
          <w:sz w:val="20"/>
          <w:szCs w:val="20"/>
        </w:rPr>
        <w:t xml:space="preserve">note </w:t>
      </w:r>
      <w:r w:rsidR="00AA71C8">
        <w:rPr>
          <w:sz w:val="20"/>
          <w:szCs w:val="20"/>
        </w:rPr>
        <w:fldChar w:fldCharType="begin"/>
      </w:r>
      <w:r w:rsidR="00AA71C8">
        <w:rPr>
          <w:sz w:val="20"/>
          <w:szCs w:val="20"/>
        </w:rPr>
        <w:instrText xml:space="preserve"> NOTEREF _Ref231566908 \h </w:instrText>
      </w:r>
      <w:r w:rsidR="00AA71C8">
        <w:rPr>
          <w:sz w:val="20"/>
          <w:szCs w:val="20"/>
        </w:rPr>
      </w:r>
      <w:r w:rsidR="00AA71C8">
        <w:rPr>
          <w:sz w:val="20"/>
          <w:szCs w:val="20"/>
        </w:rPr>
        <w:fldChar w:fldCharType="separate"/>
      </w:r>
      <w:r w:rsidR="00AA71C8">
        <w:rPr>
          <w:sz w:val="20"/>
          <w:szCs w:val="20"/>
        </w:rPr>
        <w:t>16</w:t>
      </w:r>
      <w:r w:rsidR="00AA71C8">
        <w:rPr>
          <w:sz w:val="20"/>
          <w:szCs w:val="20"/>
        </w:rPr>
        <w:fldChar w:fldCharType="end"/>
      </w:r>
      <w:r w:rsidR="002B5D6E">
        <w:rPr>
          <w:i/>
          <w:iCs/>
          <w:sz w:val="20"/>
          <w:szCs w:val="20"/>
        </w:rPr>
        <w:t xml:space="preserve"> </w:t>
      </w:r>
      <w:r>
        <w:rPr>
          <w:sz w:val="20"/>
          <w:szCs w:val="20"/>
        </w:rPr>
        <w:t>at 11.</w:t>
      </w:r>
    </w:p>
  </w:footnote>
  <w:footnote w:id="39">
    <w:p w14:paraId="0F3462B3" w14:textId="6FC33CDE" w:rsidR="00AC60CB" w:rsidRPr="007D184C" w:rsidRDefault="00AC60CB" w:rsidP="00AC60CB">
      <w:pPr>
        <w:spacing w:after="40"/>
        <w:jc w:val="both"/>
        <w:rPr>
          <w:sz w:val="20"/>
          <w:szCs w:val="20"/>
        </w:rPr>
      </w:pPr>
      <w:r w:rsidRPr="007D184C">
        <w:rPr>
          <w:rStyle w:val="FootnoteReference"/>
          <w:sz w:val="20"/>
          <w:szCs w:val="20"/>
        </w:rPr>
        <w:footnoteRef/>
      </w:r>
      <w:r>
        <w:rPr>
          <w:i/>
          <w:iCs/>
          <w:sz w:val="20"/>
          <w:szCs w:val="20"/>
        </w:rPr>
        <w:t xml:space="preserve"> </w:t>
      </w:r>
      <w:r w:rsidRPr="007D184C">
        <w:rPr>
          <w:i/>
          <w:iCs/>
          <w:sz w:val="20"/>
          <w:szCs w:val="20"/>
        </w:rPr>
        <w:t xml:space="preserve">See </w:t>
      </w:r>
      <w:r w:rsidRPr="007D184C">
        <w:rPr>
          <w:sz w:val="20"/>
          <w:szCs w:val="20"/>
        </w:rPr>
        <w:t xml:space="preserve">Press Release, Office of N.Y.C. Mayor Zohran Mamdani, </w:t>
      </w:r>
      <w:r w:rsidRPr="00DA7B48">
        <w:rPr>
          <w:sz w:val="20"/>
          <w:szCs w:val="20"/>
        </w:rPr>
        <w:t>Mayor Mamdani Releases Update on Savings Plan</w:t>
      </w:r>
      <w:r w:rsidRPr="007D184C">
        <w:rPr>
          <w:sz w:val="20"/>
          <w:szCs w:val="20"/>
        </w:rPr>
        <w:t xml:space="preserve"> (Mar. 25, 2026), </w:t>
      </w:r>
      <w:r w:rsidR="00AA71C8" w:rsidRPr="000E145E">
        <w:rPr>
          <w:sz w:val="20"/>
          <w:szCs w:val="20"/>
        </w:rPr>
        <w:t>https://www.nyc.gov/mayors-office/news/2026/03/mayor-mamdani-releases-update-on-savings-plan</w:t>
      </w:r>
      <w:r w:rsidRPr="007D184C">
        <w:rPr>
          <w:sz w:val="20"/>
          <w:szCs w:val="20"/>
        </w:rPr>
        <w:t>.</w:t>
      </w:r>
    </w:p>
  </w:footnote>
  <w:footnote w:id="40">
    <w:p w14:paraId="4379DC87" w14:textId="7AFE9238" w:rsidR="004868FC" w:rsidRPr="007D184C" w:rsidRDefault="001614E3" w:rsidP="007D184C">
      <w:pPr>
        <w:spacing w:after="40"/>
        <w:jc w:val="both"/>
        <w:rPr>
          <w:sz w:val="20"/>
          <w:szCs w:val="20"/>
        </w:rPr>
      </w:pPr>
      <w:r w:rsidRPr="007D184C">
        <w:rPr>
          <w:rStyle w:val="FootnoteReference"/>
          <w:sz w:val="20"/>
          <w:szCs w:val="20"/>
        </w:rPr>
        <w:footnoteRef/>
      </w:r>
      <w:r w:rsidR="0096457A">
        <w:rPr>
          <w:i/>
          <w:iCs/>
          <w:sz w:val="20"/>
          <w:szCs w:val="20"/>
        </w:rPr>
        <w:t xml:space="preserve"> </w:t>
      </w:r>
      <w:r w:rsidRPr="007D184C">
        <w:rPr>
          <w:i/>
          <w:iCs/>
          <w:sz w:val="20"/>
          <w:szCs w:val="20"/>
        </w:rPr>
        <w:t xml:space="preserve">See </w:t>
      </w:r>
      <w:r w:rsidR="00AA71C8" w:rsidRPr="005C3B96">
        <w:rPr>
          <w:smallCaps/>
          <w:sz w:val="20"/>
          <w:szCs w:val="20"/>
        </w:rPr>
        <w:t>Monty Hall</w:t>
      </w:r>
      <w:r w:rsidR="00AA71C8" w:rsidRPr="0096457A">
        <w:rPr>
          <w:sz w:val="20"/>
          <w:szCs w:val="20"/>
        </w:rPr>
        <w:t>,</w:t>
      </w:r>
      <w:r w:rsidR="00AA71C8" w:rsidRPr="007D184C">
        <w:rPr>
          <w:sz w:val="20"/>
          <w:szCs w:val="20"/>
        </w:rPr>
        <w:t xml:space="preserve"> </w:t>
      </w:r>
      <w:r w:rsidR="00AA71C8">
        <w:rPr>
          <w:i/>
          <w:iCs/>
          <w:sz w:val="20"/>
          <w:szCs w:val="20"/>
        </w:rPr>
        <w:t xml:space="preserve">supra </w:t>
      </w:r>
      <w:r w:rsidR="00AA71C8">
        <w:rPr>
          <w:sz w:val="20"/>
          <w:szCs w:val="20"/>
        </w:rPr>
        <w:t xml:space="preserve">note </w:t>
      </w:r>
      <w:r w:rsidR="00AA71C8">
        <w:rPr>
          <w:sz w:val="20"/>
          <w:szCs w:val="20"/>
        </w:rPr>
        <w:fldChar w:fldCharType="begin"/>
      </w:r>
      <w:r w:rsidR="00AA71C8">
        <w:rPr>
          <w:sz w:val="20"/>
          <w:szCs w:val="20"/>
        </w:rPr>
        <w:instrText xml:space="preserve"> NOTEREF _Ref231566908 \h </w:instrText>
      </w:r>
      <w:r w:rsidR="00AA71C8">
        <w:rPr>
          <w:sz w:val="20"/>
          <w:szCs w:val="20"/>
        </w:rPr>
      </w:r>
      <w:r w:rsidR="00AA71C8">
        <w:rPr>
          <w:sz w:val="20"/>
          <w:szCs w:val="20"/>
        </w:rPr>
        <w:fldChar w:fldCharType="separate"/>
      </w:r>
      <w:r w:rsidR="00AA71C8">
        <w:rPr>
          <w:sz w:val="20"/>
          <w:szCs w:val="20"/>
        </w:rPr>
        <w:t>16</w:t>
      </w:r>
      <w:r w:rsidR="00AA71C8">
        <w:rPr>
          <w:sz w:val="20"/>
          <w:szCs w:val="20"/>
        </w:rPr>
        <w:fldChar w:fldCharType="end"/>
      </w:r>
      <w:r w:rsidR="00AC60CB">
        <w:rPr>
          <w:i/>
          <w:iCs/>
          <w:sz w:val="20"/>
          <w:szCs w:val="20"/>
        </w:rPr>
        <w:t xml:space="preserve"> </w:t>
      </w:r>
      <w:r w:rsidR="00AC60CB">
        <w:rPr>
          <w:sz w:val="20"/>
          <w:szCs w:val="20"/>
        </w:rPr>
        <w:t>at</w:t>
      </w:r>
      <w:r w:rsidR="0096457A">
        <w:rPr>
          <w:sz w:val="20"/>
          <w:szCs w:val="20"/>
        </w:rPr>
        <w:t xml:space="preserve"> 12.</w:t>
      </w:r>
    </w:p>
  </w:footnote>
  <w:footnote w:id="41">
    <w:p w14:paraId="350E089A" w14:textId="2F833010" w:rsidR="004868FC" w:rsidRPr="007D184C" w:rsidRDefault="001614E3" w:rsidP="007D184C">
      <w:pPr>
        <w:spacing w:after="40"/>
        <w:jc w:val="both"/>
        <w:rPr>
          <w:sz w:val="20"/>
          <w:szCs w:val="20"/>
        </w:rPr>
      </w:pPr>
      <w:r w:rsidRPr="007D184C">
        <w:rPr>
          <w:rStyle w:val="FootnoteReference"/>
          <w:sz w:val="20"/>
          <w:szCs w:val="20"/>
        </w:rPr>
        <w:footnoteRef/>
      </w:r>
      <w:r w:rsidR="0096457A">
        <w:rPr>
          <w:i/>
          <w:iCs/>
          <w:sz w:val="20"/>
          <w:szCs w:val="20"/>
        </w:rPr>
        <w:t xml:space="preserve"> </w:t>
      </w:r>
      <w:r w:rsidRPr="007D184C">
        <w:rPr>
          <w:i/>
          <w:iCs/>
          <w:sz w:val="20"/>
          <w:szCs w:val="20"/>
        </w:rPr>
        <w:t>See</w:t>
      </w:r>
      <w:r w:rsidR="00531531">
        <w:rPr>
          <w:i/>
          <w:iCs/>
          <w:sz w:val="20"/>
          <w:szCs w:val="20"/>
        </w:rPr>
        <w:t xml:space="preserve"> id. See also</w:t>
      </w:r>
      <w:r w:rsidRPr="007D184C">
        <w:rPr>
          <w:i/>
          <w:iCs/>
          <w:sz w:val="20"/>
          <w:szCs w:val="20"/>
        </w:rPr>
        <w:t xml:space="preserve"> </w:t>
      </w:r>
      <w:r w:rsidRPr="007D184C">
        <w:rPr>
          <w:sz w:val="20"/>
          <w:szCs w:val="20"/>
        </w:rPr>
        <w:t>N.Y.C. Charter § 326(b)(ii</w:t>
      </w:r>
      <w:r w:rsidR="00531531">
        <w:rPr>
          <w:sz w:val="20"/>
          <w:szCs w:val="20"/>
        </w:rPr>
        <w:t>).</w:t>
      </w:r>
    </w:p>
  </w:footnote>
  <w:footnote w:id="42">
    <w:p w14:paraId="766CC273" w14:textId="475726F9" w:rsidR="004868FC" w:rsidRPr="007D184C" w:rsidRDefault="001614E3" w:rsidP="007D184C">
      <w:pPr>
        <w:spacing w:after="40"/>
        <w:jc w:val="both"/>
        <w:rPr>
          <w:sz w:val="20"/>
          <w:szCs w:val="20"/>
        </w:rPr>
      </w:pPr>
      <w:r w:rsidRPr="007D184C">
        <w:rPr>
          <w:rStyle w:val="FootnoteReference"/>
          <w:sz w:val="20"/>
          <w:szCs w:val="20"/>
        </w:rPr>
        <w:footnoteRef/>
      </w:r>
      <w:r w:rsidR="00531531">
        <w:rPr>
          <w:i/>
          <w:iCs/>
          <w:sz w:val="20"/>
          <w:szCs w:val="20"/>
        </w:rPr>
        <w:t xml:space="preserve"> </w:t>
      </w:r>
      <w:r w:rsidRPr="007D184C">
        <w:rPr>
          <w:i/>
          <w:iCs/>
          <w:sz w:val="20"/>
          <w:szCs w:val="20"/>
        </w:rPr>
        <w:t xml:space="preserve">See </w:t>
      </w:r>
      <w:r w:rsidR="005C3B96" w:rsidRPr="005C3B96">
        <w:rPr>
          <w:smallCaps/>
          <w:sz w:val="20"/>
          <w:szCs w:val="20"/>
        </w:rPr>
        <w:t>Monty Hall</w:t>
      </w:r>
      <w:r w:rsidR="005C3B96" w:rsidRPr="0096457A">
        <w:rPr>
          <w:sz w:val="20"/>
          <w:szCs w:val="20"/>
        </w:rPr>
        <w:t>,</w:t>
      </w:r>
      <w:r w:rsidR="005C3B96" w:rsidRPr="007D184C">
        <w:rPr>
          <w:sz w:val="20"/>
          <w:szCs w:val="20"/>
        </w:rPr>
        <w:t xml:space="preserve"> </w:t>
      </w:r>
      <w:r w:rsidR="005C3B96">
        <w:rPr>
          <w:i/>
          <w:iCs/>
          <w:sz w:val="20"/>
          <w:szCs w:val="20"/>
        </w:rPr>
        <w:t xml:space="preserve">supra </w:t>
      </w:r>
      <w:r w:rsidR="005C3B96">
        <w:rPr>
          <w:sz w:val="20"/>
          <w:szCs w:val="20"/>
        </w:rPr>
        <w:t xml:space="preserve">note </w:t>
      </w:r>
      <w:r w:rsidR="00AA71C8">
        <w:rPr>
          <w:sz w:val="20"/>
          <w:szCs w:val="20"/>
        </w:rPr>
        <w:fldChar w:fldCharType="begin"/>
      </w:r>
      <w:r w:rsidR="00AA71C8">
        <w:rPr>
          <w:sz w:val="20"/>
          <w:szCs w:val="20"/>
        </w:rPr>
        <w:instrText xml:space="preserve"> NOTEREF _Ref231566908 \h </w:instrText>
      </w:r>
      <w:r w:rsidR="00AA71C8">
        <w:rPr>
          <w:sz w:val="20"/>
          <w:szCs w:val="20"/>
        </w:rPr>
      </w:r>
      <w:r w:rsidR="00AA71C8">
        <w:rPr>
          <w:sz w:val="20"/>
          <w:szCs w:val="20"/>
        </w:rPr>
        <w:fldChar w:fldCharType="separate"/>
      </w:r>
      <w:r w:rsidR="00AA71C8">
        <w:rPr>
          <w:sz w:val="20"/>
          <w:szCs w:val="20"/>
        </w:rPr>
        <w:t>16</w:t>
      </w:r>
      <w:r w:rsidR="00AA71C8">
        <w:rPr>
          <w:sz w:val="20"/>
          <w:szCs w:val="20"/>
        </w:rPr>
        <w:fldChar w:fldCharType="end"/>
      </w:r>
      <w:r w:rsidR="00531531">
        <w:rPr>
          <w:sz w:val="20"/>
          <w:szCs w:val="20"/>
        </w:rPr>
        <w:t xml:space="preserve"> at 4.</w:t>
      </w:r>
    </w:p>
  </w:footnote>
  <w:footnote w:id="43">
    <w:p w14:paraId="69B49B71" w14:textId="4A9FA34D" w:rsidR="00F6369F" w:rsidRPr="00F6369F" w:rsidRDefault="00F6369F">
      <w:pPr>
        <w:pStyle w:val="FootnoteText"/>
      </w:pPr>
      <w:r>
        <w:rPr>
          <w:rStyle w:val="FootnoteReference"/>
        </w:rPr>
        <w:footnoteRef/>
      </w:r>
      <w:r>
        <w:t xml:space="preserve"> </w:t>
      </w:r>
      <w:r>
        <w:rPr>
          <w:i/>
          <w:iCs/>
        </w:rPr>
        <w:t>See id.</w:t>
      </w:r>
      <w:r>
        <w:t xml:space="preserve"> at 17</w:t>
      </w:r>
      <w:r w:rsidR="005C3B96">
        <w:t>–</w:t>
      </w:r>
      <w:r>
        <w:t>18.</w:t>
      </w:r>
    </w:p>
  </w:footnote>
  <w:footnote w:id="44">
    <w:p w14:paraId="456CB30F" w14:textId="2025FE7D" w:rsidR="004868FC" w:rsidRPr="00531531" w:rsidRDefault="001614E3" w:rsidP="007D184C">
      <w:pPr>
        <w:spacing w:after="40"/>
        <w:jc w:val="both"/>
        <w:rPr>
          <w:sz w:val="20"/>
          <w:szCs w:val="20"/>
        </w:rPr>
      </w:pPr>
      <w:r w:rsidRPr="007D184C">
        <w:rPr>
          <w:rStyle w:val="FootnoteReference"/>
          <w:sz w:val="20"/>
          <w:szCs w:val="20"/>
        </w:rPr>
        <w:footnoteRef/>
      </w:r>
      <w:r w:rsidR="00531531">
        <w:rPr>
          <w:i/>
          <w:iCs/>
          <w:sz w:val="20"/>
          <w:szCs w:val="20"/>
        </w:rPr>
        <w:t xml:space="preserve"> </w:t>
      </w:r>
      <w:r w:rsidRPr="007D184C">
        <w:rPr>
          <w:i/>
          <w:iCs/>
          <w:sz w:val="20"/>
          <w:szCs w:val="20"/>
        </w:rPr>
        <w:t>See id.</w:t>
      </w:r>
    </w:p>
  </w:footnote>
  <w:footnote w:id="45">
    <w:p w14:paraId="761E14E5" w14:textId="103D6543" w:rsidR="004868FC" w:rsidRPr="007D184C" w:rsidRDefault="001614E3" w:rsidP="007D184C">
      <w:pPr>
        <w:spacing w:after="40"/>
        <w:jc w:val="both"/>
        <w:rPr>
          <w:sz w:val="20"/>
          <w:szCs w:val="20"/>
        </w:rPr>
      </w:pPr>
      <w:r w:rsidRPr="007D184C">
        <w:rPr>
          <w:rStyle w:val="FootnoteReference"/>
          <w:sz w:val="20"/>
          <w:szCs w:val="20"/>
        </w:rPr>
        <w:footnoteRef/>
      </w:r>
      <w:r w:rsidR="00531531">
        <w:rPr>
          <w:i/>
          <w:iCs/>
          <w:sz w:val="20"/>
          <w:szCs w:val="20"/>
        </w:rPr>
        <w:t xml:space="preserve"> </w:t>
      </w:r>
      <w:r w:rsidRPr="007D184C">
        <w:rPr>
          <w:i/>
          <w:iCs/>
          <w:sz w:val="20"/>
          <w:szCs w:val="20"/>
        </w:rPr>
        <w:t>See id.</w:t>
      </w:r>
    </w:p>
  </w:footnote>
  <w:footnote w:id="46">
    <w:p w14:paraId="503FE885" w14:textId="039B3147" w:rsidR="008D5AAD" w:rsidRPr="00FA2D8D" w:rsidRDefault="008D5AAD" w:rsidP="00A95E71">
      <w:r>
        <w:rPr>
          <w:rStyle w:val="FootnoteReference"/>
        </w:rPr>
        <w:footnoteRef/>
      </w:r>
      <w:r>
        <w:t xml:space="preserve"> </w:t>
      </w:r>
      <w:r w:rsidR="005E595C" w:rsidRPr="00A95E71">
        <w:rPr>
          <w:i/>
          <w:iCs/>
          <w:sz w:val="20"/>
          <w:szCs w:val="20"/>
        </w:rPr>
        <w:t>See</w:t>
      </w:r>
      <w:r w:rsidR="00AD232D">
        <w:rPr>
          <w:i/>
          <w:iCs/>
          <w:sz w:val="20"/>
          <w:szCs w:val="20"/>
        </w:rPr>
        <w:t xml:space="preserve"> generally</w:t>
      </w:r>
      <w:r w:rsidR="005E595C" w:rsidRPr="00A95E71">
        <w:rPr>
          <w:sz w:val="20"/>
          <w:szCs w:val="20"/>
        </w:rPr>
        <w:t xml:space="preserve"> </w:t>
      </w:r>
      <w:r w:rsidR="005E595C" w:rsidRPr="005168C1">
        <w:rPr>
          <w:smallCaps/>
          <w:sz w:val="20"/>
          <w:szCs w:val="20"/>
        </w:rPr>
        <w:t xml:space="preserve">Office of the </w:t>
      </w:r>
      <w:r w:rsidR="005C3B96">
        <w:rPr>
          <w:smallCaps/>
          <w:sz w:val="20"/>
          <w:szCs w:val="20"/>
        </w:rPr>
        <w:t xml:space="preserve">N.Y.C. </w:t>
      </w:r>
      <w:r w:rsidR="005E595C" w:rsidRPr="005168C1">
        <w:rPr>
          <w:smallCaps/>
          <w:sz w:val="20"/>
          <w:szCs w:val="20"/>
        </w:rPr>
        <w:t>Comptroll</w:t>
      </w:r>
      <w:r w:rsidR="00D642EF" w:rsidRPr="005168C1">
        <w:rPr>
          <w:smallCaps/>
          <w:sz w:val="20"/>
          <w:szCs w:val="20"/>
        </w:rPr>
        <w:t>er</w:t>
      </w:r>
      <w:r w:rsidR="00D642EF" w:rsidRPr="00A95E71">
        <w:rPr>
          <w:sz w:val="20"/>
          <w:szCs w:val="20"/>
        </w:rPr>
        <w:t xml:space="preserve">, </w:t>
      </w:r>
      <w:r w:rsidR="00D642EF" w:rsidRPr="005168C1">
        <w:rPr>
          <w:smallCaps/>
          <w:sz w:val="20"/>
          <w:szCs w:val="20"/>
        </w:rPr>
        <w:t>Annual Report on M</w:t>
      </w:r>
      <w:r w:rsidR="00E47472" w:rsidRPr="005168C1">
        <w:rPr>
          <w:smallCaps/>
          <w:sz w:val="20"/>
          <w:szCs w:val="20"/>
        </w:rPr>
        <w:t>/WBE Procurement</w:t>
      </w:r>
      <w:r w:rsidR="00FA2D8D" w:rsidRPr="00A95E71">
        <w:rPr>
          <w:sz w:val="20"/>
          <w:szCs w:val="20"/>
        </w:rPr>
        <w:t xml:space="preserve"> (</w:t>
      </w:r>
      <w:r w:rsidR="005C3B96" w:rsidRPr="00A95E71">
        <w:rPr>
          <w:sz w:val="20"/>
          <w:szCs w:val="20"/>
        </w:rPr>
        <w:t>Feb</w:t>
      </w:r>
      <w:r w:rsidR="005C3B96">
        <w:rPr>
          <w:sz w:val="20"/>
          <w:szCs w:val="20"/>
        </w:rPr>
        <w:t>.</w:t>
      </w:r>
      <w:r w:rsidR="005C3B96" w:rsidRPr="00A95E71">
        <w:rPr>
          <w:sz w:val="20"/>
          <w:szCs w:val="20"/>
        </w:rPr>
        <w:t xml:space="preserve"> </w:t>
      </w:r>
      <w:r w:rsidR="00FA2D8D" w:rsidRPr="00A95E71">
        <w:rPr>
          <w:sz w:val="20"/>
          <w:szCs w:val="20"/>
        </w:rPr>
        <w:t>14, 2025),</w:t>
      </w:r>
      <w:r w:rsidR="00AD232D" w:rsidRPr="00AD232D">
        <w:t xml:space="preserve"> </w:t>
      </w:r>
      <w:r w:rsidR="00AD232D" w:rsidRPr="00AD232D">
        <w:rPr>
          <w:sz w:val="20"/>
          <w:szCs w:val="20"/>
        </w:rPr>
        <w:t>https://comptroller.nyc.gov/wp-content/uploads/documents/FY24-Annual-Report-on-MWBE-Procurement.pdf</w:t>
      </w:r>
      <w:r w:rsidR="009B4684">
        <w:rPr>
          <w:sz w:val="20"/>
          <w:szCs w:val="20"/>
        </w:rPr>
        <w:t xml:space="preserve"> [hereinafter </w:t>
      </w:r>
      <w:r w:rsidR="009B4684">
        <w:rPr>
          <w:smallCaps/>
          <w:sz w:val="20"/>
          <w:szCs w:val="20"/>
        </w:rPr>
        <w:t>Comptroller’s M/WBE Report</w:t>
      </w:r>
      <w:r w:rsidR="009B4684">
        <w:rPr>
          <w:sz w:val="20"/>
          <w:szCs w:val="20"/>
        </w:rPr>
        <w:t>]</w:t>
      </w:r>
      <w:r w:rsidR="00AD232D">
        <w:rPr>
          <w:sz w:val="20"/>
          <w:szCs w:val="20"/>
        </w:rPr>
        <w:t>.</w:t>
      </w:r>
    </w:p>
  </w:footnote>
  <w:footnote w:id="47">
    <w:p w14:paraId="39544CE6" w14:textId="7042D7B4" w:rsidR="00AD232D" w:rsidRPr="003976B8" w:rsidRDefault="00AD232D">
      <w:pPr>
        <w:pStyle w:val="FootnoteText"/>
      </w:pPr>
      <w:r>
        <w:rPr>
          <w:rStyle w:val="FootnoteReference"/>
        </w:rPr>
        <w:footnoteRef/>
      </w:r>
      <w:r>
        <w:t xml:space="preserve"> </w:t>
      </w:r>
      <w:r w:rsidR="003976B8">
        <w:rPr>
          <w:i/>
          <w:iCs/>
        </w:rPr>
        <w:t xml:space="preserve">Id. </w:t>
      </w:r>
      <w:r w:rsidR="003976B8">
        <w:t>at 42.</w:t>
      </w:r>
    </w:p>
  </w:footnote>
  <w:footnote w:id="48">
    <w:p w14:paraId="0246B4A5" w14:textId="65B3E523" w:rsidR="008D0EC3" w:rsidRPr="00AD232D" w:rsidRDefault="008D0EC3">
      <w:pPr>
        <w:pStyle w:val="FootnoteText"/>
      </w:pPr>
      <w:r>
        <w:rPr>
          <w:rStyle w:val="FootnoteReference"/>
        </w:rPr>
        <w:footnoteRef/>
      </w:r>
      <w:r>
        <w:t xml:space="preserve"> </w:t>
      </w:r>
      <w:r w:rsidR="003976B8">
        <w:rPr>
          <w:i/>
          <w:iCs/>
        </w:rPr>
        <w:t>I</w:t>
      </w:r>
      <w:r w:rsidR="00FD72AA" w:rsidRPr="005168C1">
        <w:rPr>
          <w:i/>
          <w:iCs/>
        </w:rPr>
        <w:t>d.</w:t>
      </w:r>
      <w:r w:rsidR="00AD232D">
        <w:rPr>
          <w:i/>
          <w:iCs/>
        </w:rPr>
        <w:t xml:space="preserve"> </w:t>
      </w:r>
      <w:r w:rsidR="00AD232D">
        <w:t>at 44.</w:t>
      </w:r>
    </w:p>
  </w:footnote>
  <w:footnote w:id="49">
    <w:p w14:paraId="1AF6DE97" w14:textId="04AE2126" w:rsidR="003976B8" w:rsidRPr="003976B8" w:rsidRDefault="003976B8">
      <w:pPr>
        <w:pStyle w:val="FootnoteText"/>
      </w:pPr>
      <w:r>
        <w:rPr>
          <w:rStyle w:val="FootnoteReference"/>
        </w:rPr>
        <w:footnoteRef/>
      </w:r>
      <w:r>
        <w:t xml:space="preserve"> </w:t>
      </w:r>
      <w:r>
        <w:rPr>
          <w:i/>
          <w:iCs/>
        </w:rPr>
        <w:t>Id.</w:t>
      </w:r>
    </w:p>
  </w:footnote>
  <w:footnote w:id="50">
    <w:p w14:paraId="789CF0DD" w14:textId="0E11A1A9" w:rsidR="00D97607" w:rsidRPr="00D97607" w:rsidRDefault="00D97607">
      <w:pPr>
        <w:pStyle w:val="FootnoteText"/>
      </w:pPr>
      <w:r>
        <w:rPr>
          <w:rStyle w:val="FootnoteReference"/>
        </w:rPr>
        <w:footnoteRef/>
      </w:r>
      <w:r>
        <w:t xml:space="preserve"> </w:t>
      </w:r>
      <w:r w:rsidR="003976B8">
        <w:rPr>
          <w:i/>
          <w:iCs/>
        </w:rPr>
        <w:t>Id.</w:t>
      </w:r>
    </w:p>
  </w:footnote>
  <w:footnote w:id="51">
    <w:p w14:paraId="0127E3A4" w14:textId="5455E475" w:rsidR="00BA0F53" w:rsidRDefault="00BA0F53">
      <w:pPr>
        <w:pStyle w:val="FootnoteText"/>
      </w:pPr>
      <w:r>
        <w:rPr>
          <w:rStyle w:val="FootnoteReference"/>
        </w:rPr>
        <w:footnoteRef/>
      </w:r>
      <w:r>
        <w:t xml:space="preserve"> </w:t>
      </w:r>
      <w:r w:rsidRPr="003B01FA">
        <w:rPr>
          <w:i/>
          <w:iCs/>
        </w:rPr>
        <w:t>See</w:t>
      </w:r>
      <w:r>
        <w:t xml:space="preserve"> </w:t>
      </w:r>
      <w:r w:rsidRPr="00B83A84">
        <w:t>Dominick</w:t>
      </w:r>
      <w:r>
        <w:t xml:space="preserve"> Fiorentino &amp; Alexandra Neenan, </w:t>
      </w:r>
      <w:r w:rsidRPr="00CF1A6D">
        <w:rPr>
          <w:i/>
          <w:iCs/>
        </w:rPr>
        <w:t>Indefinite Delivery, Indefinite Quantity Contracts,</w:t>
      </w:r>
      <w:r>
        <w:rPr>
          <w:i/>
          <w:iCs/>
        </w:rPr>
        <w:t xml:space="preserve"> Congressional Research Service </w:t>
      </w:r>
      <w:r>
        <w:t>(Nov. 12, 2024)</w:t>
      </w:r>
      <w:r w:rsidRPr="003B01FA">
        <w:t>,</w:t>
      </w:r>
      <w:r>
        <w:rPr>
          <w:i/>
          <w:iCs/>
        </w:rPr>
        <w:t xml:space="preserve"> </w:t>
      </w:r>
      <w:r w:rsidRPr="003B01FA">
        <w:t>https://www.congress.gov/crs-product/IF12558</w:t>
      </w:r>
      <w:r>
        <w:t>.</w:t>
      </w:r>
    </w:p>
  </w:footnote>
  <w:footnote w:id="52">
    <w:p w14:paraId="5E8FD15E" w14:textId="5431C283" w:rsidR="0001158B" w:rsidRPr="005168C1" w:rsidRDefault="0001158B">
      <w:pPr>
        <w:pStyle w:val="FootnoteText"/>
        <w:rPr>
          <w:i/>
          <w:iCs/>
        </w:rPr>
      </w:pPr>
      <w:r>
        <w:rPr>
          <w:rStyle w:val="FootnoteReference"/>
        </w:rPr>
        <w:footnoteRef/>
      </w:r>
      <w:r>
        <w:t xml:space="preserve"> </w:t>
      </w:r>
      <w:r w:rsidR="00BA0F53">
        <w:rPr>
          <w:i/>
          <w:iCs/>
        </w:rPr>
        <w:t>Id.</w:t>
      </w:r>
    </w:p>
  </w:footnote>
  <w:footnote w:id="53">
    <w:p w14:paraId="359F106D" w14:textId="4BF5A2DA" w:rsidR="005B5232" w:rsidRPr="005B5232" w:rsidRDefault="005B5232">
      <w:pPr>
        <w:pStyle w:val="FootnoteText"/>
      </w:pPr>
      <w:r>
        <w:rPr>
          <w:rStyle w:val="FootnoteReference"/>
        </w:rPr>
        <w:footnoteRef/>
      </w:r>
      <w:r>
        <w:t xml:space="preserve"> </w:t>
      </w:r>
      <w:r>
        <w:rPr>
          <w:i/>
          <w:iCs/>
        </w:rPr>
        <w:t>See</w:t>
      </w:r>
      <w:r>
        <w:t xml:space="preserve"> id.</w:t>
      </w:r>
    </w:p>
  </w:footnote>
  <w:footnote w:id="54">
    <w:p w14:paraId="3EEF320E" w14:textId="27775432" w:rsidR="00673892" w:rsidRPr="00D06D2A" w:rsidRDefault="00673892">
      <w:pPr>
        <w:pStyle w:val="FootnoteText"/>
      </w:pPr>
      <w:r>
        <w:rPr>
          <w:rStyle w:val="FootnoteReference"/>
        </w:rPr>
        <w:footnoteRef/>
      </w:r>
      <w:r>
        <w:t xml:space="preserve"> </w:t>
      </w:r>
      <w:r w:rsidR="00453EE0">
        <w:rPr>
          <w:i/>
          <w:iCs/>
        </w:rPr>
        <w:t>See</w:t>
      </w:r>
      <w:r w:rsidR="007E5C8C">
        <w:rPr>
          <w:i/>
          <w:iCs/>
        </w:rPr>
        <w:t>, e.g.</w:t>
      </w:r>
      <w:r w:rsidR="007E5C8C">
        <w:t>,</w:t>
      </w:r>
      <w:r w:rsidR="00453EE0">
        <w:t xml:space="preserve"> </w:t>
      </w:r>
      <w:r w:rsidR="005E1FE0">
        <w:t>48 C.F.R. §§ 16.50</w:t>
      </w:r>
      <w:r w:rsidR="007E5C8C">
        <w:t>4(a)(1) (requiring a minimum quantity purchased under an indefinite-quantity contract and stating a maximum not to be exceeded).</w:t>
      </w:r>
    </w:p>
  </w:footnote>
  <w:footnote w:id="55">
    <w:p w14:paraId="23F9FD43" w14:textId="728D8799" w:rsidR="007E5C8C" w:rsidRDefault="007E5C8C">
      <w:pPr>
        <w:pStyle w:val="FootnoteText"/>
      </w:pPr>
      <w:r>
        <w:rPr>
          <w:rStyle w:val="FootnoteReference"/>
        </w:rPr>
        <w:footnoteRef/>
      </w:r>
      <w:r>
        <w:t xml:space="preserve"> </w:t>
      </w:r>
      <w:r>
        <w:rPr>
          <w:i/>
          <w:iCs/>
        </w:rPr>
        <w:t>See</w:t>
      </w:r>
      <w:r>
        <w:t xml:space="preserve"> </w:t>
      </w:r>
      <w:r w:rsidRPr="00391AA6">
        <w:rPr>
          <w:i/>
          <w:iCs/>
        </w:rPr>
        <w:t>id.</w:t>
      </w:r>
      <w:r>
        <w:rPr>
          <w:i/>
          <w:iCs/>
        </w:rPr>
        <w:t xml:space="preserve"> </w:t>
      </w:r>
      <w:r>
        <w:t>at § 16.504(c).</w:t>
      </w:r>
    </w:p>
  </w:footnote>
  <w:footnote w:id="56">
    <w:p w14:paraId="52F4E94C" w14:textId="74E1D46C" w:rsidR="00CC7291" w:rsidRPr="00C27FE1" w:rsidRDefault="00CC7291">
      <w:pPr>
        <w:pStyle w:val="FootnoteText"/>
      </w:pPr>
      <w:r>
        <w:rPr>
          <w:rStyle w:val="FootnoteReference"/>
        </w:rPr>
        <w:footnoteRef/>
      </w:r>
      <w:r>
        <w:t xml:space="preserve"> </w:t>
      </w:r>
      <w:r w:rsidR="00C27FE1">
        <w:rPr>
          <w:i/>
          <w:iCs/>
        </w:rPr>
        <w:t xml:space="preserve">Id. </w:t>
      </w:r>
      <w:r w:rsidR="00C27FE1">
        <w:t>at §§ 16.503(b)(ii), 16.504(c)(1)(ii)(D).</w:t>
      </w:r>
    </w:p>
  </w:footnote>
  <w:footnote w:id="57">
    <w:p w14:paraId="219D3C62" w14:textId="53513199" w:rsidR="005D1812" w:rsidRPr="00C27FE1" w:rsidRDefault="005D1812">
      <w:pPr>
        <w:pStyle w:val="FootnoteText"/>
      </w:pPr>
      <w:r>
        <w:rPr>
          <w:rStyle w:val="FootnoteReference"/>
        </w:rPr>
        <w:footnoteRef/>
      </w:r>
      <w:r>
        <w:t xml:space="preserve"> </w:t>
      </w:r>
      <w:r w:rsidR="00C27FE1">
        <w:rPr>
          <w:i/>
          <w:iCs/>
        </w:rPr>
        <w:t xml:space="preserve">Id. </w:t>
      </w:r>
      <w:r w:rsidR="00C27FE1">
        <w:t>at § 16.505(b)(2)(ii)(D)(2)(</w:t>
      </w:r>
      <w:proofErr w:type="spellStart"/>
      <w:r w:rsidR="00C27FE1">
        <w:t>i</w:t>
      </w:r>
      <w:proofErr w:type="spellEnd"/>
      <w:r w:rsidR="00C27FE1">
        <w:t>).</w:t>
      </w:r>
    </w:p>
  </w:footnote>
  <w:footnote w:id="58">
    <w:p w14:paraId="45835F38" w14:textId="2FC6B115" w:rsidR="003F7C5B" w:rsidRPr="00830C58" w:rsidRDefault="003F7C5B">
      <w:pPr>
        <w:pStyle w:val="FootnoteText"/>
      </w:pPr>
      <w:r>
        <w:rPr>
          <w:rStyle w:val="FootnoteReference"/>
        </w:rPr>
        <w:footnoteRef/>
      </w:r>
      <w:r>
        <w:t xml:space="preserve"> </w:t>
      </w:r>
      <w:r w:rsidR="00BB7682" w:rsidRPr="00166874">
        <w:rPr>
          <w:i/>
          <w:iCs/>
        </w:rPr>
        <w:t>See</w:t>
      </w:r>
      <w:r w:rsidR="009B4684">
        <w:rPr>
          <w:i/>
          <w:iCs/>
        </w:rPr>
        <w:t>, e.g.</w:t>
      </w:r>
      <w:r w:rsidR="009B4684">
        <w:t>,</w:t>
      </w:r>
      <w:r w:rsidR="00AC5D48">
        <w:t xml:space="preserve"> </w:t>
      </w:r>
      <w:r w:rsidR="00E10A8E">
        <w:rPr>
          <w:i/>
          <w:iCs/>
        </w:rPr>
        <w:t>Space Exploration Technologies Corp. Award ID NNJ16GX</w:t>
      </w:r>
      <w:r w:rsidR="00EC2B24">
        <w:rPr>
          <w:i/>
          <w:iCs/>
        </w:rPr>
        <w:t>08B</w:t>
      </w:r>
      <w:r w:rsidR="00830C58" w:rsidRPr="009B4684">
        <w:t>,</w:t>
      </w:r>
      <w:r w:rsidR="009B4684">
        <w:t xml:space="preserve"> </w:t>
      </w:r>
      <w:r w:rsidR="009B4684" w:rsidRPr="00DE1ACD">
        <w:rPr>
          <w:smallCaps/>
        </w:rPr>
        <w:t>USASpending.gov</w:t>
      </w:r>
      <w:r w:rsidR="009B4684">
        <w:rPr>
          <w:smallCaps/>
        </w:rPr>
        <w:t>,</w:t>
      </w:r>
      <w:r w:rsidR="00830C58">
        <w:t xml:space="preserve"> </w:t>
      </w:r>
      <w:r w:rsidR="009B4684" w:rsidRPr="00DE1ACD">
        <w:t>https://www.usaspending.gov/award/CONT_IDV_NNJ16GX08B_8000</w:t>
      </w:r>
      <w:r w:rsidR="009B4684">
        <w:t xml:space="preserve"> (last visited June 8, 2026)</w:t>
      </w:r>
      <w:r w:rsidR="00166874">
        <w:t>.</w:t>
      </w:r>
    </w:p>
  </w:footnote>
  <w:footnote w:id="59">
    <w:p w14:paraId="380FBE8A" w14:textId="6DEE520D" w:rsidR="00117565" w:rsidRPr="00FF7179" w:rsidRDefault="00117565">
      <w:pPr>
        <w:pStyle w:val="FootnoteText"/>
      </w:pPr>
      <w:r>
        <w:rPr>
          <w:rStyle w:val="FootnoteReference"/>
        </w:rPr>
        <w:footnoteRef/>
      </w:r>
      <w:r>
        <w:t xml:space="preserve"> </w:t>
      </w:r>
      <w:r>
        <w:rPr>
          <w:i/>
          <w:iCs/>
        </w:rPr>
        <w:t>See</w:t>
      </w:r>
      <w:r w:rsidR="009B4684">
        <w:rPr>
          <w:i/>
          <w:iCs/>
        </w:rPr>
        <w:t>, e.g.</w:t>
      </w:r>
      <w:r w:rsidR="009B4684">
        <w:t>,</w:t>
      </w:r>
      <w:r>
        <w:t xml:space="preserve"> </w:t>
      </w:r>
      <w:r w:rsidR="005F4272">
        <w:rPr>
          <w:i/>
          <w:iCs/>
        </w:rPr>
        <w:t>Contract ID MA104</w:t>
      </w:r>
      <w:r w:rsidR="00982F57">
        <w:rPr>
          <w:i/>
          <w:iCs/>
        </w:rPr>
        <w:t>0201</w:t>
      </w:r>
      <w:r w:rsidR="0075226F">
        <w:rPr>
          <w:i/>
          <w:iCs/>
        </w:rPr>
        <w:t>898</w:t>
      </w:r>
      <w:r w:rsidR="00955340">
        <w:rPr>
          <w:i/>
          <w:iCs/>
        </w:rPr>
        <w:t>72020</w:t>
      </w:r>
      <w:r w:rsidR="00151687">
        <w:rPr>
          <w:i/>
          <w:iCs/>
        </w:rPr>
        <w:t xml:space="preserve"> CDW Government</w:t>
      </w:r>
      <w:r w:rsidR="00FF7179" w:rsidRPr="009B4684">
        <w:t>,</w:t>
      </w:r>
      <w:r w:rsidR="00FF7179">
        <w:t xml:space="preserve"> </w:t>
      </w:r>
      <w:proofErr w:type="spellStart"/>
      <w:r w:rsidR="009B4684" w:rsidRPr="00DE1ACD">
        <w:rPr>
          <w:smallCaps/>
        </w:rPr>
        <w:t>CheckbookNYC</w:t>
      </w:r>
      <w:proofErr w:type="spellEnd"/>
      <w:r w:rsidR="009B4684">
        <w:t>,</w:t>
      </w:r>
      <w:r w:rsidR="006557BB">
        <w:t xml:space="preserve"> </w:t>
      </w:r>
      <w:r w:rsidR="009B4684" w:rsidRPr="00DE1ACD">
        <w:t>https://www.checkbooknyc.com/</w:t>
      </w:r>
      <w:r w:rsidR="00D40A8C">
        <w:t>‌</w:t>
      </w:r>
      <w:r w:rsidR="009B4684" w:rsidRPr="00DE1ACD">
        <w:t>contracts_landing/status/A/yeartype/B/year/127?expandBottomContURL=/contract_details/magid/4048889/status/A/doctype/MA1</w:t>
      </w:r>
      <w:r w:rsidR="009B4684">
        <w:t xml:space="preserve"> (last visited June 8, 2026)</w:t>
      </w:r>
      <w:r w:rsidR="00FF7179">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F53DF"/>
    <w:multiLevelType w:val="hybridMultilevel"/>
    <w:tmpl w:val="B314B30C"/>
    <w:lvl w:ilvl="0" w:tplc="56F8F65E">
      <w:start w:val="1"/>
      <w:numFmt w:val="upperRoman"/>
      <w:lvlText w:val="%1."/>
      <w:lvlJc w:val="left"/>
      <w:pPr>
        <w:ind w:left="1080" w:hanging="720"/>
      </w:pPr>
    </w:lvl>
    <w:lvl w:ilvl="1" w:tplc="F93E85AC">
      <w:numFmt w:val="decimal"/>
      <w:lvlText w:val=""/>
      <w:lvlJc w:val="left"/>
    </w:lvl>
    <w:lvl w:ilvl="2" w:tplc="7A64CD94">
      <w:numFmt w:val="decimal"/>
      <w:lvlText w:val=""/>
      <w:lvlJc w:val="left"/>
    </w:lvl>
    <w:lvl w:ilvl="3" w:tplc="33E077A0">
      <w:numFmt w:val="decimal"/>
      <w:lvlText w:val=""/>
      <w:lvlJc w:val="left"/>
    </w:lvl>
    <w:lvl w:ilvl="4" w:tplc="A6DAA870">
      <w:numFmt w:val="decimal"/>
      <w:lvlText w:val=""/>
      <w:lvlJc w:val="left"/>
    </w:lvl>
    <w:lvl w:ilvl="5" w:tplc="6DB2C000">
      <w:numFmt w:val="decimal"/>
      <w:lvlText w:val=""/>
      <w:lvlJc w:val="left"/>
    </w:lvl>
    <w:lvl w:ilvl="6" w:tplc="575610F8">
      <w:numFmt w:val="decimal"/>
      <w:lvlText w:val=""/>
      <w:lvlJc w:val="left"/>
    </w:lvl>
    <w:lvl w:ilvl="7" w:tplc="59BCE97A">
      <w:numFmt w:val="decimal"/>
      <w:lvlText w:val=""/>
      <w:lvlJc w:val="left"/>
    </w:lvl>
    <w:lvl w:ilvl="8" w:tplc="B2D04F58">
      <w:numFmt w:val="decimal"/>
      <w:lvlText w:val=""/>
      <w:lvlJc w:val="left"/>
    </w:lvl>
  </w:abstractNum>
  <w:abstractNum w:abstractNumId="1" w15:restartNumberingAfterBreak="0">
    <w:nsid w:val="39ED6BFA"/>
    <w:multiLevelType w:val="multilevel"/>
    <w:tmpl w:val="EFA8C66A"/>
    <w:lvl w:ilvl="0">
      <w:start w:val="1"/>
      <w:numFmt w:val="upperRoman"/>
      <w:pStyle w:val="RomanHeading1"/>
      <w:lvlText w:val="%1."/>
      <w:lvlJc w:val="left"/>
      <w:pPr>
        <w:ind w:left="1080" w:hanging="720"/>
      </w:pPr>
      <w:rPr>
        <w:rFonts w:hint="default"/>
      </w:rPr>
    </w:lvl>
    <w:lvl w:ilvl="1">
      <w:start w:val="1"/>
      <w:numFmt w:val="upperLetter"/>
      <w:pStyle w:val="RomanHeading2"/>
      <w:lvlText w:val="%2."/>
      <w:lvlJc w:val="left"/>
      <w:pPr>
        <w:ind w:left="1080" w:hanging="720"/>
      </w:pPr>
      <w:rPr>
        <w:rFonts w:hint="default"/>
      </w:rPr>
    </w:lvl>
    <w:lvl w:ilvl="2">
      <w:start w:val="1"/>
      <w:numFmt w:val="lowerRoman"/>
      <w:pStyle w:val="RomanHeading3"/>
      <w:lvlText w:val="%3."/>
      <w:lvlJc w:val="left"/>
      <w:pPr>
        <w:ind w:left="1800" w:hanging="720"/>
      </w:pPr>
      <w:rPr>
        <w:rFonts w:hint="default"/>
      </w:rPr>
    </w:lvl>
    <w:lvl w:ilvl="3">
      <w:start w:val="1"/>
      <w:numFmt w:val="decimal"/>
      <w:pStyle w:val="RomanHeading4"/>
      <w:lvlText w:val="%4."/>
      <w:lvlJc w:val="left"/>
      <w:pPr>
        <w:ind w:left="2520" w:hanging="720"/>
      </w:pPr>
      <w:rPr>
        <w:rFonts w:hint="default"/>
      </w:rPr>
    </w:lvl>
    <w:lvl w:ilvl="4">
      <w:start w:val="1"/>
      <w:numFmt w:val="lowerLetter"/>
      <w:pStyle w:val="RomanHeading5"/>
      <w:lvlText w:val="%5."/>
      <w:lvlJc w:val="left"/>
      <w:pPr>
        <w:ind w:left="3240" w:hanging="720"/>
      </w:pPr>
      <w:rPr>
        <w:rFonts w:hint="default"/>
      </w:rPr>
    </w:lvl>
    <w:lvl w:ilvl="5">
      <w:start w:val="1"/>
      <w:numFmt w:val="lowerRoman"/>
      <w:pStyle w:val="RomanHeading6"/>
      <w:lvlText w:val="(%6)"/>
      <w:lvlJc w:val="right"/>
      <w:pPr>
        <w:tabs>
          <w:tab w:val="num" w:pos="3960"/>
        </w:tabs>
        <w:ind w:left="396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EAF02AF"/>
    <w:multiLevelType w:val="hybridMultilevel"/>
    <w:tmpl w:val="42D69CC6"/>
    <w:lvl w:ilvl="0" w:tplc="D548D396">
      <w:start w:val="1"/>
      <w:numFmt w:val="bullet"/>
      <w:lvlText w:val="●"/>
      <w:lvlJc w:val="left"/>
      <w:pPr>
        <w:ind w:left="720" w:hanging="360"/>
      </w:pPr>
    </w:lvl>
    <w:lvl w:ilvl="1" w:tplc="C7E05EEC">
      <w:start w:val="1"/>
      <w:numFmt w:val="bullet"/>
      <w:lvlText w:val="○"/>
      <w:lvlJc w:val="left"/>
      <w:pPr>
        <w:ind w:left="1440" w:hanging="360"/>
      </w:pPr>
    </w:lvl>
    <w:lvl w:ilvl="2" w:tplc="112C2DA4">
      <w:start w:val="1"/>
      <w:numFmt w:val="bullet"/>
      <w:lvlText w:val="■"/>
      <w:lvlJc w:val="left"/>
      <w:pPr>
        <w:ind w:left="2160" w:hanging="360"/>
      </w:pPr>
    </w:lvl>
    <w:lvl w:ilvl="3" w:tplc="4EB6EBA8">
      <w:start w:val="1"/>
      <w:numFmt w:val="bullet"/>
      <w:lvlText w:val="●"/>
      <w:lvlJc w:val="left"/>
      <w:pPr>
        <w:ind w:left="2880" w:hanging="360"/>
      </w:pPr>
    </w:lvl>
    <w:lvl w:ilvl="4" w:tplc="15105282">
      <w:start w:val="1"/>
      <w:numFmt w:val="bullet"/>
      <w:lvlText w:val="○"/>
      <w:lvlJc w:val="left"/>
      <w:pPr>
        <w:ind w:left="3600" w:hanging="360"/>
      </w:pPr>
    </w:lvl>
    <w:lvl w:ilvl="5" w:tplc="D664367E">
      <w:start w:val="1"/>
      <w:numFmt w:val="bullet"/>
      <w:lvlText w:val="■"/>
      <w:lvlJc w:val="left"/>
      <w:pPr>
        <w:ind w:left="4320" w:hanging="360"/>
      </w:pPr>
    </w:lvl>
    <w:lvl w:ilvl="6" w:tplc="D92E7D30">
      <w:start w:val="1"/>
      <w:numFmt w:val="bullet"/>
      <w:lvlText w:val="●"/>
      <w:lvlJc w:val="left"/>
      <w:pPr>
        <w:ind w:left="5040" w:hanging="360"/>
      </w:pPr>
    </w:lvl>
    <w:lvl w:ilvl="7" w:tplc="1654E222">
      <w:start w:val="1"/>
      <w:numFmt w:val="bullet"/>
      <w:lvlText w:val="●"/>
      <w:lvlJc w:val="left"/>
      <w:pPr>
        <w:ind w:left="5760" w:hanging="360"/>
      </w:pPr>
    </w:lvl>
    <w:lvl w:ilvl="8" w:tplc="F00EC768">
      <w:start w:val="1"/>
      <w:numFmt w:val="bullet"/>
      <w:lvlText w:val="●"/>
      <w:lvlJc w:val="left"/>
      <w:pPr>
        <w:ind w:left="6480" w:hanging="360"/>
      </w:pPr>
    </w:lvl>
  </w:abstractNum>
  <w:num w:numId="1" w16cid:durableId="214659798">
    <w:abstractNumId w:val="2"/>
    <w:lvlOverride w:ilvl="0">
      <w:startOverride w:val="1"/>
    </w:lvlOverride>
  </w:num>
  <w:num w:numId="2" w16cid:durableId="927269423">
    <w:abstractNumId w:val="0"/>
    <w:lvlOverride w:ilvl="0">
      <w:startOverride w:val="1"/>
    </w:lvlOverride>
  </w:num>
  <w:num w:numId="3" w16cid:durableId="828595340">
    <w:abstractNumId w:val="1"/>
  </w:num>
  <w:num w:numId="4" w16cid:durableId="696154106">
    <w:abstractNumId w:val="1"/>
  </w:num>
  <w:num w:numId="5" w16cid:durableId="14616364">
    <w:abstractNumId w:val="1"/>
  </w:num>
  <w:num w:numId="6" w16cid:durableId="1113861514">
    <w:abstractNumId w:val="1"/>
  </w:num>
  <w:num w:numId="7" w16cid:durableId="1237008558">
    <w:abstractNumId w:val="1"/>
  </w:num>
  <w:num w:numId="8" w16cid:durableId="223831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8FC"/>
    <w:rsid w:val="000018B2"/>
    <w:rsid w:val="000031F0"/>
    <w:rsid w:val="000049FE"/>
    <w:rsid w:val="000059E1"/>
    <w:rsid w:val="0001158B"/>
    <w:rsid w:val="0001683F"/>
    <w:rsid w:val="00016963"/>
    <w:rsid w:val="000176B3"/>
    <w:rsid w:val="000227FA"/>
    <w:rsid w:val="00027E6B"/>
    <w:rsid w:val="0003075E"/>
    <w:rsid w:val="0003295A"/>
    <w:rsid w:val="00033368"/>
    <w:rsid w:val="0003537B"/>
    <w:rsid w:val="00035ACD"/>
    <w:rsid w:val="000370AA"/>
    <w:rsid w:val="00046A4F"/>
    <w:rsid w:val="00046DF4"/>
    <w:rsid w:val="0005137B"/>
    <w:rsid w:val="0005478E"/>
    <w:rsid w:val="00060F12"/>
    <w:rsid w:val="0006298E"/>
    <w:rsid w:val="000639AD"/>
    <w:rsid w:val="00067119"/>
    <w:rsid w:val="00071C23"/>
    <w:rsid w:val="00077C4D"/>
    <w:rsid w:val="0008096C"/>
    <w:rsid w:val="00083C0A"/>
    <w:rsid w:val="00087A70"/>
    <w:rsid w:val="00091A63"/>
    <w:rsid w:val="00096102"/>
    <w:rsid w:val="000A1913"/>
    <w:rsid w:val="000A76B4"/>
    <w:rsid w:val="000A7C91"/>
    <w:rsid w:val="000B1E36"/>
    <w:rsid w:val="000B7E12"/>
    <w:rsid w:val="000C4E03"/>
    <w:rsid w:val="000E145E"/>
    <w:rsid w:val="000F2CD9"/>
    <w:rsid w:val="000F44C7"/>
    <w:rsid w:val="000F7A9E"/>
    <w:rsid w:val="0010152A"/>
    <w:rsid w:val="00104FD0"/>
    <w:rsid w:val="00113465"/>
    <w:rsid w:val="00117565"/>
    <w:rsid w:val="0012319A"/>
    <w:rsid w:val="001233F1"/>
    <w:rsid w:val="001243C0"/>
    <w:rsid w:val="001260B4"/>
    <w:rsid w:val="0013218D"/>
    <w:rsid w:val="00134427"/>
    <w:rsid w:val="00136957"/>
    <w:rsid w:val="001412EF"/>
    <w:rsid w:val="00141E41"/>
    <w:rsid w:val="001462CC"/>
    <w:rsid w:val="00150AF6"/>
    <w:rsid w:val="00151687"/>
    <w:rsid w:val="001566D8"/>
    <w:rsid w:val="00157EC4"/>
    <w:rsid w:val="001614E3"/>
    <w:rsid w:val="00163DF0"/>
    <w:rsid w:val="00166874"/>
    <w:rsid w:val="00170C85"/>
    <w:rsid w:val="00171616"/>
    <w:rsid w:val="00176042"/>
    <w:rsid w:val="001769E3"/>
    <w:rsid w:val="001772AF"/>
    <w:rsid w:val="001827B6"/>
    <w:rsid w:val="00183E94"/>
    <w:rsid w:val="00196F46"/>
    <w:rsid w:val="001A10E2"/>
    <w:rsid w:val="001A1F20"/>
    <w:rsid w:val="001B09E3"/>
    <w:rsid w:val="001B5C75"/>
    <w:rsid w:val="001C77ED"/>
    <w:rsid w:val="001D5620"/>
    <w:rsid w:val="001E202B"/>
    <w:rsid w:val="001E2709"/>
    <w:rsid w:val="001E455E"/>
    <w:rsid w:val="001F1EDC"/>
    <w:rsid w:val="002014D2"/>
    <w:rsid w:val="00206E49"/>
    <w:rsid w:val="00211808"/>
    <w:rsid w:val="002136AC"/>
    <w:rsid w:val="00216D6A"/>
    <w:rsid w:val="00223909"/>
    <w:rsid w:val="00225D71"/>
    <w:rsid w:val="00227F3A"/>
    <w:rsid w:val="00235F1A"/>
    <w:rsid w:val="00242261"/>
    <w:rsid w:val="00251C03"/>
    <w:rsid w:val="00251DAE"/>
    <w:rsid w:val="00262D10"/>
    <w:rsid w:val="00266FF3"/>
    <w:rsid w:val="00267154"/>
    <w:rsid w:val="002679BC"/>
    <w:rsid w:val="00277EB9"/>
    <w:rsid w:val="002849D8"/>
    <w:rsid w:val="00287D9F"/>
    <w:rsid w:val="002910B6"/>
    <w:rsid w:val="0029584A"/>
    <w:rsid w:val="002A254B"/>
    <w:rsid w:val="002A2C45"/>
    <w:rsid w:val="002B0216"/>
    <w:rsid w:val="002B4563"/>
    <w:rsid w:val="002B5B36"/>
    <w:rsid w:val="002B5D6E"/>
    <w:rsid w:val="002B7908"/>
    <w:rsid w:val="002C39A1"/>
    <w:rsid w:val="002C5750"/>
    <w:rsid w:val="002D2526"/>
    <w:rsid w:val="002E733B"/>
    <w:rsid w:val="002F09CB"/>
    <w:rsid w:val="002F25E4"/>
    <w:rsid w:val="00310CD6"/>
    <w:rsid w:val="003151CB"/>
    <w:rsid w:val="00317ADF"/>
    <w:rsid w:val="00322023"/>
    <w:rsid w:val="0033089C"/>
    <w:rsid w:val="003350CE"/>
    <w:rsid w:val="00344413"/>
    <w:rsid w:val="00350C43"/>
    <w:rsid w:val="003533F5"/>
    <w:rsid w:val="003548EE"/>
    <w:rsid w:val="0036167B"/>
    <w:rsid w:val="003621A6"/>
    <w:rsid w:val="00362A02"/>
    <w:rsid w:val="00366B56"/>
    <w:rsid w:val="00377214"/>
    <w:rsid w:val="0037755B"/>
    <w:rsid w:val="0038038F"/>
    <w:rsid w:val="0038276A"/>
    <w:rsid w:val="0038416F"/>
    <w:rsid w:val="00393B52"/>
    <w:rsid w:val="003976B8"/>
    <w:rsid w:val="003D24FE"/>
    <w:rsid w:val="003D3D3B"/>
    <w:rsid w:val="003D46C1"/>
    <w:rsid w:val="003D4F54"/>
    <w:rsid w:val="003D580E"/>
    <w:rsid w:val="003D59DF"/>
    <w:rsid w:val="003E1932"/>
    <w:rsid w:val="003E25F8"/>
    <w:rsid w:val="003F1562"/>
    <w:rsid w:val="003F7C5B"/>
    <w:rsid w:val="00404642"/>
    <w:rsid w:val="00405387"/>
    <w:rsid w:val="00411A5A"/>
    <w:rsid w:val="004202A1"/>
    <w:rsid w:val="00422CF7"/>
    <w:rsid w:val="00427455"/>
    <w:rsid w:val="00437378"/>
    <w:rsid w:val="00442627"/>
    <w:rsid w:val="00444146"/>
    <w:rsid w:val="00445335"/>
    <w:rsid w:val="00446CBB"/>
    <w:rsid w:val="004518E6"/>
    <w:rsid w:val="004535B0"/>
    <w:rsid w:val="00453A4D"/>
    <w:rsid w:val="00453EE0"/>
    <w:rsid w:val="00455FFE"/>
    <w:rsid w:val="00465597"/>
    <w:rsid w:val="00472E35"/>
    <w:rsid w:val="00473E2D"/>
    <w:rsid w:val="004810BC"/>
    <w:rsid w:val="00483105"/>
    <w:rsid w:val="004868FC"/>
    <w:rsid w:val="00487FCE"/>
    <w:rsid w:val="004914C6"/>
    <w:rsid w:val="004956F8"/>
    <w:rsid w:val="004972A9"/>
    <w:rsid w:val="00497773"/>
    <w:rsid w:val="004A1335"/>
    <w:rsid w:val="004A6834"/>
    <w:rsid w:val="004B10DA"/>
    <w:rsid w:val="004B2929"/>
    <w:rsid w:val="004B666A"/>
    <w:rsid w:val="004B735C"/>
    <w:rsid w:val="004C4A0F"/>
    <w:rsid w:val="004D6327"/>
    <w:rsid w:val="004D71FC"/>
    <w:rsid w:val="004E3EB2"/>
    <w:rsid w:val="004F5466"/>
    <w:rsid w:val="005114E8"/>
    <w:rsid w:val="005168C1"/>
    <w:rsid w:val="00525BD9"/>
    <w:rsid w:val="00531531"/>
    <w:rsid w:val="00540B51"/>
    <w:rsid w:val="005416C8"/>
    <w:rsid w:val="00561B4E"/>
    <w:rsid w:val="00561F71"/>
    <w:rsid w:val="005637C1"/>
    <w:rsid w:val="0056581E"/>
    <w:rsid w:val="0056607D"/>
    <w:rsid w:val="00585B3F"/>
    <w:rsid w:val="005915CD"/>
    <w:rsid w:val="005950D0"/>
    <w:rsid w:val="005B0781"/>
    <w:rsid w:val="005B3608"/>
    <w:rsid w:val="005B5232"/>
    <w:rsid w:val="005C29DE"/>
    <w:rsid w:val="005C3B96"/>
    <w:rsid w:val="005D1812"/>
    <w:rsid w:val="005D2E13"/>
    <w:rsid w:val="005D5849"/>
    <w:rsid w:val="005D6B6F"/>
    <w:rsid w:val="005E1FE0"/>
    <w:rsid w:val="005E50FE"/>
    <w:rsid w:val="005E595C"/>
    <w:rsid w:val="005E726E"/>
    <w:rsid w:val="005F4272"/>
    <w:rsid w:val="005F4DA6"/>
    <w:rsid w:val="006044A9"/>
    <w:rsid w:val="006078C3"/>
    <w:rsid w:val="00612878"/>
    <w:rsid w:val="006159DB"/>
    <w:rsid w:val="00621672"/>
    <w:rsid w:val="00626CA3"/>
    <w:rsid w:val="006272F6"/>
    <w:rsid w:val="00651351"/>
    <w:rsid w:val="006520F8"/>
    <w:rsid w:val="006525BD"/>
    <w:rsid w:val="00653611"/>
    <w:rsid w:val="006557BB"/>
    <w:rsid w:val="00666DED"/>
    <w:rsid w:val="00667675"/>
    <w:rsid w:val="00667889"/>
    <w:rsid w:val="00673892"/>
    <w:rsid w:val="00693168"/>
    <w:rsid w:val="00697B71"/>
    <w:rsid w:val="00697BB9"/>
    <w:rsid w:val="00697FD9"/>
    <w:rsid w:val="006A336F"/>
    <w:rsid w:val="006B2701"/>
    <w:rsid w:val="006C0DDC"/>
    <w:rsid w:val="006C45EE"/>
    <w:rsid w:val="006C546F"/>
    <w:rsid w:val="006C5984"/>
    <w:rsid w:val="006C7D4A"/>
    <w:rsid w:val="006D3FAC"/>
    <w:rsid w:val="006D75BE"/>
    <w:rsid w:val="006E23B0"/>
    <w:rsid w:val="006E56A3"/>
    <w:rsid w:val="006E65C7"/>
    <w:rsid w:val="006F0953"/>
    <w:rsid w:val="006F292B"/>
    <w:rsid w:val="006F37B3"/>
    <w:rsid w:val="006F3B4D"/>
    <w:rsid w:val="006F3F80"/>
    <w:rsid w:val="007018E0"/>
    <w:rsid w:val="00701DD4"/>
    <w:rsid w:val="00707AC5"/>
    <w:rsid w:val="00712A70"/>
    <w:rsid w:val="007170A6"/>
    <w:rsid w:val="0072458B"/>
    <w:rsid w:val="0073623B"/>
    <w:rsid w:val="00736B7A"/>
    <w:rsid w:val="007465F3"/>
    <w:rsid w:val="007475B8"/>
    <w:rsid w:val="00750C71"/>
    <w:rsid w:val="0075226F"/>
    <w:rsid w:val="0075368F"/>
    <w:rsid w:val="007536C6"/>
    <w:rsid w:val="007601FA"/>
    <w:rsid w:val="007655DE"/>
    <w:rsid w:val="00771809"/>
    <w:rsid w:val="007807DD"/>
    <w:rsid w:val="007825BF"/>
    <w:rsid w:val="007849A1"/>
    <w:rsid w:val="00786A4A"/>
    <w:rsid w:val="007B5F4B"/>
    <w:rsid w:val="007C1F73"/>
    <w:rsid w:val="007C46F5"/>
    <w:rsid w:val="007D184C"/>
    <w:rsid w:val="007D698B"/>
    <w:rsid w:val="007E5C8C"/>
    <w:rsid w:val="007F60C3"/>
    <w:rsid w:val="007F6A3D"/>
    <w:rsid w:val="007F7696"/>
    <w:rsid w:val="007F7721"/>
    <w:rsid w:val="00810F54"/>
    <w:rsid w:val="00815E06"/>
    <w:rsid w:val="008273F1"/>
    <w:rsid w:val="00830C58"/>
    <w:rsid w:val="00835152"/>
    <w:rsid w:val="0084498B"/>
    <w:rsid w:val="00844A16"/>
    <w:rsid w:val="00844E29"/>
    <w:rsid w:val="00855CCB"/>
    <w:rsid w:val="00860479"/>
    <w:rsid w:val="00866BAD"/>
    <w:rsid w:val="00870372"/>
    <w:rsid w:val="00870C2E"/>
    <w:rsid w:val="00871882"/>
    <w:rsid w:val="0087295E"/>
    <w:rsid w:val="00873BC2"/>
    <w:rsid w:val="00877C55"/>
    <w:rsid w:val="00881DC9"/>
    <w:rsid w:val="0088397B"/>
    <w:rsid w:val="00887839"/>
    <w:rsid w:val="00894A74"/>
    <w:rsid w:val="008A2365"/>
    <w:rsid w:val="008A285C"/>
    <w:rsid w:val="008A6E93"/>
    <w:rsid w:val="008B06EE"/>
    <w:rsid w:val="008B7289"/>
    <w:rsid w:val="008C1F7E"/>
    <w:rsid w:val="008C4BD9"/>
    <w:rsid w:val="008C6C08"/>
    <w:rsid w:val="008C7191"/>
    <w:rsid w:val="008D0EC3"/>
    <w:rsid w:val="008D2242"/>
    <w:rsid w:val="008D37A3"/>
    <w:rsid w:val="008D58A9"/>
    <w:rsid w:val="008D5AAD"/>
    <w:rsid w:val="008E2496"/>
    <w:rsid w:val="008E302F"/>
    <w:rsid w:val="008E42C9"/>
    <w:rsid w:val="008E4C5A"/>
    <w:rsid w:val="008E66D4"/>
    <w:rsid w:val="008E7AE9"/>
    <w:rsid w:val="008F03DE"/>
    <w:rsid w:val="008F1E06"/>
    <w:rsid w:val="008F218A"/>
    <w:rsid w:val="00901D93"/>
    <w:rsid w:val="009142D6"/>
    <w:rsid w:val="00915C1C"/>
    <w:rsid w:val="0091620C"/>
    <w:rsid w:val="00920995"/>
    <w:rsid w:val="009440D7"/>
    <w:rsid w:val="009444E7"/>
    <w:rsid w:val="009534C5"/>
    <w:rsid w:val="00955340"/>
    <w:rsid w:val="009553B0"/>
    <w:rsid w:val="009572C8"/>
    <w:rsid w:val="00960BBF"/>
    <w:rsid w:val="0096457A"/>
    <w:rsid w:val="00964DB0"/>
    <w:rsid w:val="00971A8B"/>
    <w:rsid w:val="00971D65"/>
    <w:rsid w:val="009757C2"/>
    <w:rsid w:val="00975847"/>
    <w:rsid w:val="00982F57"/>
    <w:rsid w:val="00983B38"/>
    <w:rsid w:val="00985222"/>
    <w:rsid w:val="009854D2"/>
    <w:rsid w:val="00990AE6"/>
    <w:rsid w:val="00995165"/>
    <w:rsid w:val="009957BB"/>
    <w:rsid w:val="009A68DE"/>
    <w:rsid w:val="009B3076"/>
    <w:rsid w:val="009B4027"/>
    <w:rsid w:val="009B4684"/>
    <w:rsid w:val="009B493A"/>
    <w:rsid w:val="009B7E97"/>
    <w:rsid w:val="009D2A3A"/>
    <w:rsid w:val="009D31A6"/>
    <w:rsid w:val="009D32A0"/>
    <w:rsid w:val="009D5131"/>
    <w:rsid w:val="009D51A8"/>
    <w:rsid w:val="009E26FA"/>
    <w:rsid w:val="009E3286"/>
    <w:rsid w:val="00A018DB"/>
    <w:rsid w:val="00A045D6"/>
    <w:rsid w:val="00A10BFB"/>
    <w:rsid w:val="00A303E1"/>
    <w:rsid w:val="00A36EB1"/>
    <w:rsid w:val="00A428E6"/>
    <w:rsid w:val="00A54C5A"/>
    <w:rsid w:val="00A55FC3"/>
    <w:rsid w:val="00A62C57"/>
    <w:rsid w:val="00A715EA"/>
    <w:rsid w:val="00A73818"/>
    <w:rsid w:val="00A73F65"/>
    <w:rsid w:val="00A81AE5"/>
    <w:rsid w:val="00A84999"/>
    <w:rsid w:val="00A8767D"/>
    <w:rsid w:val="00A95E71"/>
    <w:rsid w:val="00A96CB2"/>
    <w:rsid w:val="00AA01DE"/>
    <w:rsid w:val="00AA406F"/>
    <w:rsid w:val="00AA71C8"/>
    <w:rsid w:val="00AB0134"/>
    <w:rsid w:val="00AB3D81"/>
    <w:rsid w:val="00AB4C4F"/>
    <w:rsid w:val="00AB636C"/>
    <w:rsid w:val="00AC06ED"/>
    <w:rsid w:val="00AC5D48"/>
    <w:rsid w:val="00AC60CB"/>
    <w:rsid w:val="00AD1EDA"/>
    <w:rsid w:val="00AD232D"/>
    <w:rsid w:val="00AD2CC4"/>
    <w:rsid w:val="00AD486D"/>
    <w:rsid w:val="00AE2EAB"/>
    <w:rsid w:val="00AE47F8"/>
    <w:rsid w:val="00AE63F1"/>
    <w:rsid w:val="00AF19A9"/>
    <w:rsid w:val="00AF3D7B"/>
    <w:rsid w:val="00AF7000"/>
    <w:rsid w:val="00B01FD5"/>
    <w:rsid w:val="00B023E9"/>
    <w:rsid w:val="00B23C85"/>
    <w:rsid w:val="00B324C3"/>
    <w:rsid w:val="00B33DBE"/>
    <w:rsid w:val="00B374CB"/>
    <w:rsid w:val="00B44A66"/>
    <w:rsid w:val="00B55A27"/>
    <w:rsid w:val="00B55BE8"/>
    <w:rsid w:val="00B62AA5"/>
    <w:rsid w:val="00B65071"/>
    <w:rsid w:val="00B65DDF"/>
    <w:rsid w:val="00B67368"/>
    <w:rsid w:val="00B7071D"/>
    <w:rsid w:val="00B7087B"/>
    <w:rsid w:val="00B763BC"/>
    <w:rsid w:val="00B77A4C"/>
    <w:rsid w:val="00B81951"/>
    <w:rsid w:val="00B8272D"/>
    <w:rsid w:val="00B83562"/>
    <w:rsid w:val="00B83A84"/>
    <w:rsid w:val="00B96396"/>
    <w:rsid w:val="00B96471"/>
    <w:rsid w:val="00BA0F53"/>
    <w:rsid w:val="00BA399A"/>
    <w:rsid w:val="00BB0725"/>
    <w:rsid w:val="00BB26A1"/>
    <w:rsid w:val="00BB7682"/>
    <w:rsid w:val="00BC4650"/>
    <w:rsid w:val="00BD21D7"/>
    <w:rsid w:val="00BD7807"/>
    <w:rsid w:val="00BE249E"/>
    <w:rsid w:val="00BE38FC"/>
    <w:rsid w:val="00BE4EA1"/>
    <w:rsid w:val="00BF20E4"/>
    <w:rsid w:val="00BF2847"/>
    <w:rsid w:val="00BF50E9"/>
    <w:rsid w:val="00BF681D"/>
    <w:rsid w:val="00BF715E"/>
    <w:rsid w:val="00C01E3C"/>
    <w:rsid w:val="00C01F3F"/>
    <w:rsid w:val="00C02169"/>
    <w:rsid w:val="00C04845"/>
    <w:rsid w:val="00C05A4A"/>
    <w:rsid w:val="00C05E39"/>
    <w:rsid w:val="00C07820"/>
    <w:rsid w:val="00C152F5"/>
    <w:rsid w:val="00C17B5F"/>
    <w:rsid w:val="00C2081F"/>
    <w:rsid w:val="00C27FE1"/>
    <w:rsid w:val="00C3361F"/>
    <w:rsid w:val="00C34B63"/>
    <w:rsid w:val="00C429DA"/>
    <w:rsid w:val="00C639AB"/>
    <w:rsid w:val="00C63FD8"/>
    <w:rsid w:val="00C65978"/>
    <w:rsid w:val="00C65D59"/>
    <w:rsid w:val="00C66EEF"/>
    <w:rsid w:val="00C70210"/>
    <w:rsid w:val="00C72CE5"/>
    <w:rsid w:val="00C759B9"/>
    <w:rsid w:val="00C8199D"/>
    <w:rsid w:val="00C85B9D"/>
    <w:rsid w:val="00C90748"/>
    <w:rsid w:val="00C90842"/>
    <w:rsid w:val="00C91F81"/>
    <w:rsid w:val="00C939D3"/>
    <w:rsid w:val="00C93AE1"/>
    <w:rsid w:val="00C94814"/>
    <w:rsid w:val="00C96ADF"/>
    <w:rsid w:val="00CA0340"/>
    <w:rsid w:val="00CA0BFB"/>
    <w:rsid w:val="00CA1B39"/>
    <w:rsid w:val="00CA3C8B"/>
    <w:rsid w:val="00CA3E8C"/>
    <w:rsid w:val="00CC59F9"/>
    <w:rsid w:val="00CC5D5F"/>
    <w:rsid w:val="00CC7291"/>
    <w:rsid w:val="00CD0641"/>
    <w:rsid w:val="00CD6CD9"/>
    <w:rsid w:val="00CE1CD1"/>
    <w:rsid w:val="00CE38EC"/>
    <w:rsid w:val="00CE7C09"/>
    <w:rsid w:val="00CF1A6D"/>
    <w:rsid w:val="00CF2384"/>
    <w:rsid w:val="00D00938"/>
    <w:rsid w:val="00D02F98"/>
    <w:rsid w:val="00D06D2A"/>
    <w:rsid w:val="00D146CC"/>
    <w:rsid w:val="00D1641A"/>
    <w:rsid w:val="00D2313E"/>
    <w:rsid w:val="00D245B8"/>
    <w:rsid w:val="00D24B81"/>
    <w:rsid w:val="00D3300D"/>
    <w:rsid w:val="00D36DBD"/>
    <w:rsid w:val="00D40A8C"/>
    <w:rsid w:val="00D44691"/>
    <w:rsid w:val="00D470CF"/>
    <w:rsid w:val="00D504B6"/>
    <w:rsid w:val="00D52950"/>
    <w:rsid w:val="00D55151"/>
    <w:rsid w:val="00D553D3"/>
    <w:rsid w:val="00D568E6"/>
    <w:rsid w:val="00D642EF"/>
    <w:rsid w:val="00D64562"/>
    <w:rsid w:val="00D65B8C"/>
    <w:rsid w:val="00D67C62"/>
    <w:rsid w:val="00D7550E"/>
    <w:rsid w:val="00D86BCE"/>
    <w:rsid w:val="00D92DE6"/>
    <w:rsid w:val="00D939E5"/>
    <w:rsid w:val="00D93F8B"/>
    <w:rsid w:val="00D940E9"/>
    <w:rsid w:val="00D97607"/>
    <w:rsid w:val="00D97A75"/>
    <w:rsid w:val="00DA571A"/>
    <w:rsid w:val="00DA7B48"/>
    <w:rsid w:val="00DA7C2C"/>
    <w:rsid w:val="00DB0D3C"/>
    <w:rsid w:val="00DD41D2"/>
    <w:rsid w:val="00DE1ACD"/>
    <w:rsid w:val="00DF4C68"/>
    <w:rsid w:val="00E06480"/>
    <w:rsid w:val="00E06EF0"/>
    <w:rsid w:val="00E0760F"/>
    <w:rsid w:val="00E10A8E"/>
    <w:rsid w:val="00E10F80"/>
    <w:rsid w:val="00E17C97"/>
    <w:rsid w:val="00E22544"/>
    <w:rsid w:val="00E23125"/>
    <w:rsid w:val="00E23A1C"/>
    <w:rsid w:val="00E3206B"/>
    <w:rsid w:val="00E34C19"/>
    <w:rsid w:val="00E3594E"/>
    <w:rsid w:val="00E41AB2"/>
    <w:rsid w:val="00E47472"/>
    <w:rsid w:val="00E47B72"/>
    <w:rsid w:val="00E65B67"/>
    <w:rsid w:val="00E76938"/>
    <w:rsid w:val="00E84E41"/>
    <w:rsid w:val="00E85525"/>
    <w:rsid w:val="00E86897"/>
    <w:rsid w:val="00E90618"/>
    <w:rsid w:val="00E94F5D"/>
    <w:rsid w:val="00E959C8"/>
    <w:rsid w:val="00EA2269"/>
    <w:rsid w:val="00EA3927"/>
    <w:rsid w:val="00EA3A40"/>
    <w:rsid w:val="00EA4473"/>
    <w:rsid w:val="00EA7553"/>
    <w:rsid w:val="00EA7D5C"/>
    <w:rsid w:val="00EB31A3"/>
    <w:rsid w:val="00EB3C25"/>
    <w:rsid w:val="00EB7FBC"/>
    <w:rsid w:val="00EC0F72"/>
    <w:rsid w:val="00EC2A80"/>
    <w:rsid w:val="00EC2B24"/>
    <w:rsid w:val="00EC75BD"/>
    <w:rsid w:val="00ED1B52"/>
    <w:rsid w:val="00ED695F"/>
    <w:rsid w:val="00EE6362"/>
    <w:rsid w:val="00EF6A3A"/>
    <w:rsid w:val="00F028A4"/>
    <w:rsid w:val="00F13871"/>
    <w:rsid w:val="00F13CE5"/>
    <w:rsid w:val="00F16940"/>
    <w:rsid w:val="00F178E0"/>
    <w:rsid w:val="00F239A8"/>
    <w:rsid w:val="00F24855"/>
    <w:rsid w:val="00F24D38"/>
    <w:rsid w:val="00F27AED"/>
    <w:rsid w:val="00F3323B"/>
    <w:rsid w:val="00F336EF"/>
    <w:rsid w:val="00F36D4C"/>
    <w:rsid w:val="00F4108F"/>
    <w:rsid w:val="00F41579"/>
    <w:rsid w:val="00F419FF"/>
    <w:rsid w:val="00F43B6F"/>
    <w:rsid w:val="00F45B10"/>
    <w:rsid w:val="00F4642E"/>
    <w:rsid w:val="00F518A2"/>
    <w:rsid w:val="00F52A4A"/>
    <w:rsid w:val="00F52CD1"/>
    <w:rsid w:val="00F6369F"/>
    <w:rsid w:val="00F73DBE"/>
    <w:rsid w:val="00F7555D"/>
    <w:rsid w:val="00F75B8B"/>
    <w:rsid w:val="00F8102A"/>
    <w:rsid w:val="00F82874"/>
    <w:rsid w:val="00F9184D"/>
    <w:rsid w:val="00F91ECE"/>
    <w:rsid w:val="00F92C65"/>
    <w:rsid w:val="00F93F76"/>
    <w:rsid w:val="00F9534C"/>
    <w:rsid w:val="00F97A2A"/>
    <w:rsid w:val="00FA2D8D"/>
    <w:rsid w:val="00FA5FFB"/>
    <w:rsid w:val="00FB4107"/>
    <w:rsid w:val="00FB7698"/>
    <w:rsid w:val="00FB7798"/>
    <w:rsid w:val="00FB7C05"/>
    <w:rsid w:val="00FC67E9"/>
    <w:rsid w:val="00FC7531"/>
    <w:rsid w:val="00FD4F87"/>
    <w:rsid w:val="00FD72AA"/>
    <w:rsid w:val="00FD7EAF"/>
    <w:rsid w:val="00FE1B97"/>
    <w:rsid w:val="00FF1D8E"/>
    <w:rsid w:val="00FF4881"/>
    <w:rsid w:val="00FF4AAC"/>
    <w:rsid w:val="00FF6972"/>
    <w:rsid w:val="00FF7179"/>
    <w:rsid w:val="00FF7B97"/>
    <w:rsid w:val="022FB323"/>
    <w:rsid w:val="1FC8DEDF"/>
    <w:rsid w:val="20C201AA"/>
    <w:rsid w:val="298B0031"/>
    <w:rsid w:val="2E1E12B5"/>
    <w:rsid w:val="54603184"/>
    <w:rsid w:val="5FE02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D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sid w:val="00136957"/>
    <w:pPr>
      <w:jc w:val="both"/>
    </w:pPr>
    <w:rPr>
      <w:sz w:val="20"/>
      <w:szCs w:val="20"/>
    </w:rPr>
  </w:style>
  <w:style w:type="character" w:customStyle="1" w:styleId="FootnoteTextChar">
    <w:name w:val="Footnote Text Char"/>
    <w:link w:val="FootnoteText"/>
    <w:uiPriority w:val="99"/>
    <w:semiHidden/>
    <w:unhideWhenUsed/>
    <w:rsid w:val="00136957"/>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50C71"/>
    <w:pPr>
      <w:tabs>
        <w:tab w:val="center" w:pos="4680"/>
        <w:tab w:val="right" w:pos="9360"/>
      </w:tabs>
    </w:pPr>
  </w:style>
  <w:style w:type="character" w:customStyle="1" w:styleId="HeaderChar">
    <w:name w:val="Header Char"/>
    <w:basedOn w:val="DefaultParagraphFont"/>
    <w:link w:val="Header"/>
    <w:uiPriority w:val="99"/>
    <w:rsid w:val="00750C71"/>
  </w:style>
  <w:style w:type="paragraph" w:styleId="Footer">
    <w:name w:val="footer"/>
    <w:basedOn w:val="Normal"/>
    <w:link w:val="FooterChar"/>
    <w:uiPriority w:val="99"/>
    <w:unhideWhenUsed/>
    <w:rsid w:val="00750C71"/>
    <w:pPr>
      <w:tabs>
        <w:tab w:val="center" w:pos="4680"/>
        <w:tab w:val="right" w:pos="9360"/>
      </w:tabs>
    </w:pPr>
  </w:style>
  <w:style w:type="character" w:customStyle="1" w:styleId="FooterChar">
    <w:name w:val="Footer Char"/>
    <w:basedOn w:val="DefaultParagraphFont"/>
    <w:link w:val="Footer"/>
    <w:uiPriority w:val="99"/>
    <w:rsid w:val="00750C71"/>
  </w:style>
  <w:style w:type="character" w:styleId="UnresolvedMention">
    <w:name w:val="Unresolved Mention"/>
    <w:basedOn w:val="DefaultParagraphFont"/>
    <w:uiPriority w:val="99"/>
    <w:semiHidden/>
    <w:unhideWhenUsed/>
    <w:rsid w:val="00B96471"/>
    <w:rPr>
      <w:color w:val="605E5C"/>
      <w:shd w:val="clear" w:color="auto" w:fill="E1DFDD"/>
    </w:rPr>
  </w:style>
  <w:style w:type="paragraph" w:styleId="Revision">
    <w:name w:val="Revision"/>
    <w:hidden/>
    <w:uiPriority w:val="99"/>
    <w:semiHidden/>
    <w:rsid w:val="009444E7"/>
  </w:style>
  <w:style w:type="paragraph" w:customStyle="1" w:styleId="Paragraph">
    <w:name w:val="Paragraph"/>
    <w:aliases w:val="p"/>
    <w:basedOn w:val="BodyText"/>
    <w:qFormat/>
    <w:rsid w:val="001769E3"/>
    <w:pPr>
      <w:spacing w:before="240" w:after="240" w:line="480" w:lineRule="auto"/>
      <w:ind w:firstLine="720"/>
      <w:contextualSpacing/>
      <w:jc w:val="both"/>
    </w:pPr>
  </w:style>
  <w:style w:type="paragraph" w:styleId="BodyText">
    <w:name w:val="Body Text"/>
    <w:basedOn w:val="Normal"/>
    <w:link w:val="BodyTextChar"/>
    <w:uiPriority w:val="99"/>
    <w:semiHidden/>
    <w:unhideWhenUsed/>
    <w:rsid w:val="00C63FD8"/>
    <w:pPr>
      <w:spacing w:after="120"/>
    </w:pPr>
  </w:style>
  <w:style w:type="character" w:customStyle="1" w:styleId="BodyTextChar">
    <w:name w:val="Body Text Char"/>
    <w:basedOn w:val="DefaultParagraphFont"/>
    <w:link w:val="BodyText"/>
    <w:uiPriority w:val="99"/>
    <w:semiHidden/>
    <w:rsid w:val="00C63FD8"/>
  </w:style>
  <w:style w:type="paragraph" w:customStyle="1" w:styleId="QuoteBlock">
    <w:name w:val="Quote Block"/>
    <w:aliases w:val="qb"/>
    <w:basedOn w:val="Normal"/>
    <w:qFormat/>
    <w:rsid w:val="00C63FD8"/>
    <w:pPr>
      <w:spacing w:before="240" w:after="240"/>
      <w:ind w:left="720" w:right="720"/>
      <w:jc w:val="both"/>
    </w:pPr>
  </w:style>
  <w:style w:type="paragraph" w:customStyle="1" w:styleId="RomanHeading1">
    <w:name w:val="Roman Heading 1"/>
    <w:aliases w:val="rh1"/>
    <w:basedOn w:val="Normal"/>
    <w:qFormat/>
    <w:rsid w:val="00C63FD8"/>
    <w:pPr>
      <w:keepNext/>
      <w:keepLines/>
      <w:numPr>
        <w:numId w:val="8"/>
      </w:numPr>
      <w:spacing w:before="240" w:after="240"/>
      <w:outlineLvl w:val="0"/>
    </w:pPr>
    <w:rPr>
      <w:b/>
    </w:rPr>
  </w:style>
  <w:style w:type="paragraph" w:customStyle="1" w:styleId="RomanHeading2">
    <w:name w:val="Roman Heading 2"/>
    <w:aliases w:val="rh2"/>
    <w:basedOn w:val="Normal"/>
    <w:rsid w:val="00C63FD8"/>
    <w:pPr>
      <w:keepNext/>
      <w:keepLines/>
      <w:numPr>
        <w:ilvl w:val="1"/>
        <w:numId w:val="8"/>
      </w:numPr>
      <w:spacing w:before="240" w:after="240"/>
      <w:outlineLvl w:val="1"/>
    </w:pPr>
    <w:rPr>
      <w:b/>
    </w:rPr>
  </w:style>
  <w:style w:type="paragraph" w:customStyle="1" w:styleId="RomanHeading3">
    <w:name w:val="Roman Heading 3"/>
    <w:aliases w:val="rh3"/>
    <w:basedOn w:val="Normal"/>
    <w:rsid w:val="00C63FD8"/>
    <w:pPr>
      <w:keepNext/>
      <w:keepLines/>
      <w:numPr>
        <w:ilvl w:val="2"/>
        <w:numId w:val="8"/>
      </w:numPr>
      <w:spacing w:before="240" w:after="240"/>
      <w:outlineLvl w:val="2"/>
    </w:pPr>
    <w:rPr>
      <w:i/>
    </w:rPr>
  </w:style>
  <w:style w:type="paragraph" w:customStyle="1" w:styleId="RomanHeading4">
    <w:name w:val="Roman Heading 4"/>
    <w:aliases w:val="rh4"/>
    <w:basedOn w:val="Normal"/>
    <w:rsid w:val="00C63FD8"/>
    <w:pPr>
      <w:keepNext/>
      <w:numPr>
        <w:ilvl w:val="3"/>
        <w:numId w:val="8"/>
      </w:numPr>
      <w:spacing w:before="240" w:after="240"/>
      <w:outlineLvl w:val="3"/>
    </w:pPr>
    <w:rPr>
      <w:u w:val="single"/>
    </w:rPr>
  </w:style>
  <w:style w:type="paragraph" w:customStyle="1" w:styleId="RomanHeading5">
    <w:name w:val="Roman Heading 5"/>
    <w:aliases w:val="rh5"/>
    <w:basedOn w:val="Normal"/>
    <w:rsid w:val="00C63FD8"/>
    <w:pPr>
      <w:keepNext/>
      <w:numPr>
        <w:ilvl w:val="4"/>
        <w:numId w:val="8"/>
      </w:numPr>
      <w:spacing w:before="240" w:after="240"/>
      <w:outlineLvl w:val="4"/>
    </w:pPr>
  </w:style>
  <w:style w:type="paragraph" w:customStyle="1" w:styleId="RomanHeading6">
    <w:name w:val="Roman Heading 6"/>
    <w:aliases w:val="rh6"/>
    <w:basedOn w:val="RomanHeading5"/>
    <w:qFormat/>
    <w:rsid w:val="00C63FD8"/>
    <w:pPr>
      <w:numPr>
        <w:ilvl w:val="5"/>
      </w:numPr>
      <w:outlineLvl w:val="5"/>
    </w:pPr>
  </w:style>
  <w:style w:type="character" w:styleId="CommentReference">
    <w:name w:val="annotation reference"/>
    <w:basedOn w:val="DefaultParagraphFont"/>
    <w:uiPriority w:val="99"/>
    <w:semiHidden/>
    <w:unhideWhenUsed/>
    <w:rsid w:val="00F92C65"/>
    <w:rPr>
      <w:sz w:val="16"/>
      <w:szCs w:val="16"/>
    </w:rPr>
  </w:style>
  <w:style w:type="paragraph" w:styleId="CommentText">
    <w:name w:val="annotation text"/>
    <w:basedOn w:val="Normal"/>
    <w:link w:val="CommentTextChar"/>
    <w:uiPriority w:val="99"/>
    <w:unhideWhenUsed/>
    <w:rsid w:val="00F92C65"/>
    <w:rPr>
      <w:sz w:val="20"/>
      <w:szCs w:val="20"/>
    </w:rPr>
  </w:style>
  <w:style w:type="character" w:customStyle="1" w:styleId="CommentTextChar">
    <w:name w:val="Comment Text Char"/>
    <w:basedOn w:val="DefaultParagraphFont"/>
    <w:link w:val="CommentText"/>
    <w:uiPriority w:val="99"/>
    <w:rsid w:val="00F92C65"/>
    <w:rPr>
      <w:sz w:val="20"/>
      <w:szCs w:val="20"/>
    </w:rPr>
  </w:style>
  <w:style w:type="paragraph" w:styleId="CommentSubject">
    <w:name w:val="annotation subject"/>
    <w:basedOn w:val="CommentText"/>
    <w:next w:val="CommentText"/>
    <w:link w:val="CommentSubjectChar"/>
    <w:uiPriority w:val="99"/>
    <w:semiHidden/>
    <w:unhideWhenUsed/>
    <w:rsid w:val="00F92C65"/>
    <w:rPr>
      <w:b/>
      <w:bCs/>
    </w:rPr>
  </w:style>
  <w:style w:type="character" w:customStyle="1" w:styleId="CommentSubjectChar">
    <w:name w:val="Comment Subject Char"/>
    <w:basedOn w:val="CommentTextChar"/>
    <w:link w:val="CommentSubject"/>
    <w:uiPriority w:val="99"/>
    <w:semiHidden/>
    <w:rsid w:val="00F92C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FD774-B505-42FE-B519-050CBF546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1992</Words>
  <Characters>11357</Characters>
  <Application>Microsoft Office Word</Application>
  <DocSecurity>0</DocSecurity>
  <Lines>94</Lines>
  <Paragraphs>26</Paragraphs>
  <ScaleCrop>false</ScaleCrop>
  <Company/>
  <LinksUpToDate>false</LinksUpToDate>
  <CharactersWithSpaces>13323</CharactersWithSpaces>
  <SharedDoc>false</SharedDoc>
  <HLinks>
    <vt:vector size="6" baseType="variant">
      <vt:variant>
        <vt:i4>4325400</vt:i4>
      </vt:variant>
      <vt:variant>
        <vt:i4>33</vt:i4>
      </vt:variant>
      <vt:variant>
        <vt:i4>0</vt:i4>
      </vt:variant>
      <vt:variant>
        <vt:i4>5</vt:i4>
      </vt:variant>
      <vt:variant>
        <vt:lpwstr>https://www.nyc.gov/mayors-office/news/2026/03/mayor-mamdani-releases-update-on-savings-plan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2026-06-08T19:35:00Z</dcterms:created>
  <dcterms:modified xsi:type="dcterms:W3CDTF">2026-06-08T19:35:00Z</dcterms:modified>
</cp:coreProperties>
</file>