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291E069C"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910FCD">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4213460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Resolution approving an exemption from real property taxes for property located at</w:t>
      </w:r>
      <w:r w:rsidR="003C1A07">
        <w:rPr>
          <w:rFonts w:ascii="Times New Roman" w:eastAsia="Times New Roman" w:hAnsi="Times New Roman" w:cs="Times New Roman"/>
          <w:bCs/>
          <w:sz w:val="24"/>
          <w:szCs w:val="24"/>
        </w:rPr>
        <w:t xml:space="preserve"> Block</w:t>
      </w:r>
      <w:r w:rsidR="000D6211">
        <w:rPr>
          <w:rFonts w:ascii="Times New Roman" w:eastAsia="Times New Roman" w:hAnsi="Times New Roman" w:cs="Times New Roman"/>
          <w:bCs/>
          <w:sz w:val="24"/>
          <w:szCs w:val="24"/>
        </w:rPr>
        <w:t xml:space="preserve"> 1380, Lot 54, Block 1386</w:t>
      </w:r>
      <w:r w:rsidR="001C554A">
        <w:rPr>
          <w:rFonts w:ascii="Times New Roman" w:eastAsia="Times New Roman" w:hAnsi="Times New Roman" w:cs="Times New Roman"/>
          <w:bCs/>
          <w:sz w:val="24"/>
          <w:szCs w:val="24"/>
        </w:rPr>
        <w:t>,</w:t>
      </w:r>
      <w:r w:rsidR="000D6211">
        <w:rPr>
          <w:rFonts w:ascii="Times New Roman" w:eastAsia="Times New Roman" w:hAnsi="Times New Roman" w:cs="Times New Roman"/>
          <w:bCs/>
          <w:sz w:val="24"/>
          <w:szCs w:val="24"/>
        </w:rPr>
        <w:t xml:space="preserve"> Lot 44</w:t>
      </w:r>
      <w:r w:rsidR="00F114AE">
        <w:rPr>
          <w:rFonts w:ascii="Times New Roman" w:eastAsia="Times New Roman" w:hAnsi="Times New Roman" w:cs="Times New Roman"/>
          <w:sz w:val="24"/>
          <w:szCs w:val="24"/>
        </w:rPr>
        <w:t xml:space="preserve">, </w:t>
      </w:r>
      <w:r w:rsidR="000D6211">
        <w:rPr>
          <w:rFonts w:ascii="Times New Roman" w:eastAsia="Times New Roman" w:hAnsi="Times New Roman" w:cs="Times New Roman"/>
          <w:sz w:val="24"/>
          <w:szCs w:val="24"/>
        </w:rPr>
        <w:t>Brooklyn</w:t>
      </w:r>
      <w:r w:rsidR="001C554A">
        <w:rPr>
          <w:rFonts w:ascii="Times New Roman" w:eastAsia="Times New Roman" w:hAnsi="Times New Roman" w:cs="Times New Roman"/>
          <w:sz w:val="24"/>
          <w:szCs w:val="24"/>
        </w:rPr>
        <w:t>,</w:t>
      </w:r>
      <w:r w:rsidRPr="0037354F">
        <w:rPr>
          <w:rFonts w:ascii="Times New Roman" w:eastAsia="Times New Roman" w:hAnsi="Times New Roman" w:cs="Times New Roman"/>
          <w:sz w:val="24"/>
          <w:szCs w:val="24"/>
        </w:rPr>
        <w:t xml:space="preserve">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7E717987"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2</w:t>
      </w:r>
      <w:r w:rsidR="000D6211">
        <w:rPr>
          <w:rFonts w:ascii="Times New Roman" w:eastAsia="Times New Roman" w:hAnsi="Times New Roman" w:cs="Times New Roman"/>
          <w:sz w:val="24"/>
          <w:szCs w:val="24"/>
        </w:rPr>
        <w:t>2</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0D6211">
        <w:rPr>
          <w:rFonts w:ascii="Times New Roman" w:eastAsia="Times New Roman" w:hAnsi="Times New Roman" w:cs="Times New Roman"/>
          <w:bCs/>
          <w:sz w:val="24"/>
          <w:szCs w:val="24"/>
        </w:rPr>
        <w:t>Block 1380, Lot 54, Block 1386</w:t>
      </w:r>
      <w:r w:rsidR="001C554A">
        <w:rPr>
          <w:rFonts w:ascii="Times New Roman" w:eastAsia="Times New Roman" w:hAnsi="Times New Roman" w:cs="Times New Roman"/>
          <w:bCs/>
          <w:sz w:val="24"/>
          <w:szCs w:val="24"/>
        </w:rPr>
        <w:t>,</w:t>
      </w:r>
      <w:r w:rsidR="000D6211">
        <w:rPr>
          <w:rFonts w:ascii="Times New Roman" w:eastAsia="Times New Roman" w:hAnsi="Times New Roman" w:cs="Times New Roman"/>
          <w:bCs/>
          <w:sz w:val="24"/>
          <w:szCs w:val="24"/>
        </w:rPr>
        <w:t xml:space="preserve"> Lot 44, Brooklyn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14090B60" w14:textId="77777777" w:rsid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“Company” shall mean St. Johns Flats LLC or any other entity that acquires the beneficial interest in the Exemption Area with the prior written consent of HPD.</w:t>
      </w:r>
    </w:p>
    <w:p w14:paraId="0636BD74" w14:textId="77777777" w:rsidR="000D6211" w:rsidRPr="000D6211" w:rsidRDefault="000D6211" w:rsidP="000D6211">
      <w:pPr>
        <w:rPr>
          <w:rFonts w:ascii="Times New Roman" w:hAnsi="Times New Roman" w:cs="Times New Roman"/>
          <w:sz w:val="24"/>
          <w:szCs w:val="24"/>
        </w:rPr>
      </w:pPr>
    </w:p>
    <w:p w14:paraId="22EE5DE6" w14:textId="7D97CB72" w:rsidR="003C1A07" w:rsidRDefault="000D6211" w:rsidP="003C1A07">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r>
        <w:rPr>
          <w:rFonts w:ascii="Times New Roman" w:hAnsi="Times New Roman" w:cs="Times New Roman"/>
          <w:sz w:val="24"/>
          <w:szCs w:val="24"/>
        </w:rPr>
        <w:t>.</w:t>
      </w:r>
    </w:p>
    <w:p w14:paraId="1286C075" w14:textId="77777777" w:rsidR="003C1A07" w:rsidRPr="003C1A07" w:rsidRDefault="003C1A07" w:rsidP="003C1A07">
      <w:pPr>
        <w:pStyle w:val="ListParagraph"/>
        <w:ind w:firstLine="0"/>
        <w:rPr>
          <w:rFonts w:ascii="Times New Roman" w:hAnsi="Times New Roman" w:cs="Times New Roman"/>
          <w:sz w:val="24"/>
          <w:szCs w:val="24"/>
        </w:rPr>
      </w:pPr>
    </w:p>
    <w:p w14:paraId="4DD72439" w14:textId="06387273" w:rsidR="003C1A07" w:rsidRDefault="000D6211" w:rsidP="003C1A07">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Contract Rent Differential Commencement Date</w:t>
      </w:r>
      <w:r w:rsidR="003C1A07" w:rsidRPr="003C1A07">
        <w:rPr>
          <w:rFonts w:ascii="Times New Roman" w:hAnsi="Times New Roman" w:cs="Times New Roman"/>
          <w:sz w:val="24"/>
          <w:szCs w:val="24"/>
        </w:rPr>
        <w:t>.</w:t>
      </w:r>
    </w:p>
    <w:p w14:paraId="54BE11CC" w14:textId="77777777" w:rsidR="003C1A07" w:rsidRPr="003C1A07" w:rsidRDefault="003C1A07" w:rsidP="003C1A07">
      <w:pPr>
        <w:ind w:left="0" w:firstLine="0"/>
        <w:rPr>
          <w:rFonts w:ascii="Times New Roman" w:hAnsi="Times New Roman" w:cs="Times New Roman"/>
          <w:sz w:val="24"/>
          <w:szCs w:val="24"/>
        </w:rPr>
      </w:pPr>
    </w:p>
    <w:p w14:paraId="32AEB6CB" w14:textId="0149278A" w:rsidR="003C1A07" w:rsidRDefault="000D6211" w:rsidP="003C1A07">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“Contract Rent Differential Commencement Date” shall mean July 1, 2026</w:t>
      </w:r>
      <w:r w:rsidR="003C1A07" w:rsidRPr="003C1A07">
        <w:rPr>
          <w:rFonts w:ascii="Times New Roman" w:hAnsi="Times New Roman" w:cs="Times New Roman"/>
          <w:sz w:val="24"/>
          <w:szCs w:val="24"/>
        </w:rPr>
        <w:t>.</w:t>
      </w:r>
    </w:p>
    <w:p w14:paraId="77AF5B0D" w14:textId="77777777" w:rsidR="003C1A07" w:rsidRPr="003C1A07" w:rsidRDefault="003C1A07" w:rsidP="003C1A07">
      <w:pPr>
        <w:ind w:left="0" w:firstLine="0"/>
        <w:rPr>
          <w:rFonts w:ascii="Times New Roman" w:hAnsi="Times New Roman" w:cs="Times New Roman"/>
          <w:sz w:val="24"/>
          <w:szCs w:val="24"/>
        </w:rPr>
      </w:pPr>
    </w:p>
    <w:p w14:paraId="42348D94" w14:textId="0E0F0ED3" w:rsidR="003C1A07" w:rsidRDefault="000D6211" w:rsidP="003C1A07">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 xml:space="preserve">“Contract Rent Differential Tax” shall mean the sum of (i) $354,247, plus (ii) twenty-five percent (25%) of the Contract Rent Differential; provided, however, that the total annual real property tax payment by the Owner shall not at any time exceed the lesser of (A) seventeen percent (17%) of the contract rents in the applicable tax year, or (B) the amount </w:t>
      </w:r>
      <w:r w:rsidRPr="000D6211">
        <w:rPr>
          <w:rFonts w:ascii="Times New Roman" w:hAnsi="Times New Roman" w:cs="Times New Roman"/>
          <w:sz w:val="24"/>
          <w:szCs w:val="24"/>
        </w:rPr>
        <w:lastRenderedPageBreak/>
        <w:t>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r w:rsidR="003C1A07" w:rsidRPr="003C1A07">
        <w:rPr>
          <w:rFonts w:ascii="Times New Roman" w:hAnsi="Times New Roman" w:cs="Times New Roman"/>
          <w:sz w:val="24"/>
          <w:szCs w:val="24"/>
        </w:rPr>
        <w:t>.</w:t>
      </w:r>
    </w:p>
    <w:p w14:paraId="69AF7F91" w14:textId="77777777" w:rsidR="003C1A07" w:rsidRPr="003C1A07" w:rsidRDefault="003C1A07" w:rsidP="003C1A07">
      <w:pPr>
        <w:ind w:left="0" w:firstLine="0"/>
        <w:rPr>
          <w:rFonts w:ascii="Times New Roman" w:hAnsi="Times New Roman" w:cs="Times New Roman"/>
          <w:sz w:val="24"/>
          <w:szCs w:val="24"/>
        </w:rPr>
      </w:pPr>
    </w:p>
    <w:p w14:paraId="04C6F85A" w14:textId="20F15D59" w:rsidR="003C1A07" w:rsidRDefault="000D6211" w:rsidP="003C1A07">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“Effective Date” shall mean the later of (i) the date of conveyance of the Exemption Area to the HDFC, or (ii) the date that HPD and the Owner enter into the Regulatory Agreement</w:t>
      </w:r>
      <w:r w:rsidR="003C1A07" w:rsidRPr="003C1A07">
        <w:rPr>
          <w:rFonts w:ascii="Times New Roman" w:hAnsi="Times New Roman" w:cs="Times New Roman"/>
          <w:sz w:val="24"/>
          <w:szCs w:val="24"/>
        </w:rPr>
        <w:t>.</w:t>
      </w:r>
    </w:p>
    <w:p w14:paraId="4E6D1E19" w14:textId="77777777" w:rsidR="003C1A07" w:rsidRPr="003C1A07" w:rsidRDefault="003C1A07" w:rsidP="003C1A07">
      <w:pPr>
        <w:pStyle w:val="ListParagraph"/>
        <w:rPr>
          <w:rFonts w:ascii="Times New Roman" w:hAnsi="Times New Roman" w:cs="Times New Roman"/>
          <w:sz w:val="24"/>
          <w:szCs w:val="24"/>
        </w:rPr>
      </w:pPr>
    </w:p>
    <w:p w14:paraId="7F7BE0D4" w14:textId="76EF3CA6" w:rsidR="003C1A07" w:rsidRDefault="000D6211" w:rsidP="003C1A07">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“Exemption” shall mean the exemption from real property taxation provided hereunder</w:t>
      </w:r>
      <w:r w:rsidR="003C1A07" w:rsidRPr="003C1A07">
        <w:rPr>
          <w:rFonts w:ascii="Times New Roman" w:hAnsi="Times New Roman" w:cs="Times New Roman"/>
          <w:sz w:val="24"/>
          <w:szCs w:val="24"/>
        </w:rPr>
        <w:t>.</w:t>
      </w:r>
    </w:p>
    <w:p w14:paraId="1E9A83F9" w14:textId="77777777" w:rsidR="000D6211" w:rsidRPr="000D6211" w:rsidRDefault="000D6211" w:rsidP="000D6211">
      <w:pPr>
        <w:pStyle w:val="ListParagraph"/>
        <w:rPr>
          <w:rFonts w:ascii="Times New Roman" w:hAnsi="Times New Roman" w:cs="Times New Roman"/>
          <w:sz w:val="24"/>
          <w:szCs w:val="24"/>
        </w:rPr>
      </w:pPr>
    </w:p>
    <w:p w14:paraId="2533ABC9" w14:textId="515E46EB" w:rsid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“Exemption Area” shall mean the real property located in the Borough of Brooklyn, City and State of New York, identified as Block 1380, Lot 54 and Block 1386, Lot 44 on the Tax Map of the City of New York</w:t>
      </w:r>
      <w:r>
        <w:rPr>
          <w:rFonts w:ascii="Times New Roman" w:hAnsi="Times New Roman" w:cs="Times New Roman"/>
          <w:sz w:val="24"/>
          <w:szCs w:val="24"/>
        </w:rPr>
        <w:t>.</w:t>
      </w:r>
    </w:p>
    <w:p w14:paraId="19101B52" w14:textId="77777777" w:rsidR="000D6211" w:rsidRPr="000D6211" w:rsidRDefault="000D6211" w:rsidP="000D6211">
      <w:pPr>
        <w:pStyle w:val="ListParagraph"/>
        <w:rPr>
          <w:rFonts w:ascii="Times New Roman" w:hAnsi="Times New Roman" w:cs="Times New Roman"/>
          <w:sz w:val="24"/>
          <w:szCs w:val="24"/>
        </w:rPr>
      </w:pPr>
    </w:p>
    <w:p w14:paraId="588FA093" w14:textId="323BAC1E" w:rsid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“Expiration Date” shall mean the earlier to occur of (i)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r>
        <w:rPr>
          <w:rFonts w:ascii="Times New Roman" w:hAnsi="Times New Roman" w:cs="Times New Roman"/>
          <w:sz w:val="24"/>
          <w:szCs w:val="24"/>
        </w:rPr>
        <w:t>.</w:t>
      </w:r>
    </w:p>
    <w:p w14:paraId="3469EB15" w14:textId="77777777" w:rsidR="000D6211" w:rsidRPr="000D6211" w:rsidRDefault="000D6211" w:rsidP="000D6211">
      <w:pPr>
        <w:pStyle w:val="ListParagraph"/>
        <w:rPr>
          <w:rFonts w:ascii="Times New Roman" w:hAnsi="Times New Roman" w:cs="Times New Roman"/>
          <w:sz w:val="24"/>
          <w:szCs w:val="24"/>
        </w:rPr>
      </w:pPr>
    </w:p>
    <w:p w14:paraId="55DDAE05" w14:textId="067B13D0" w:rsid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“HDFC” shall mean HP St. Johns Housing Development Fund Company, Inc. or a housing development fund company that acquires the Exemption Area with the prior written consent of HPD</w:t>
      </w:r>
      <w:r>
        <w:rPr>
          <w:rFonts w:ascii="Times New Roman" w:hAnsi="Times New Roman" w:cs="Times New Roman"/>
          <w:sz w:val="24"/>
          <w:szCs w:val="24"/>
        </w:rPr>
        <w:t>.</w:t>
      </w:r>
    </w:p>
    <w:p w14:paraId="7E2C2814" w14:textId="77777777" w:rsidR="000D6211" w:rsidRPr="000D6211" w:rsidRDefault="000D6211" w:rsidP="000D6211">
      <w:pPr>
        <w:pStyle w:val="ListParagraph"/>
        <w:rPr>
          <w:rFonts w:ascii="Times New Roman" w:hAnsi="Times New Roman" w:cs="Times New Roman"/>
          <w:sz w:val="24"/>
          <w:szCs w:val="24"/>
        </w:rPr>
      </w:pPr>
    </w:p>
    <w:p w14:paraId="1D3465A5" w14:textId="012B7990" w:rsid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“HPD” shall mean the Department of Housing Preservation and Development of the City of New York</w:t>
      </w:r>
      <w:r w:rsidR="00D740B6">
        <w:rPr>
          <w:rFonts w:ascii="Times New Roman" w:hAnsi="Times New Roman" w:cs="Times New Roman"/>
          <w:sz w:val="24"/>
          <w:szCs w:val="24"/>
        </w:rPr>
        <w:t>.</w:t>
      </w:r>
    </w:p>
    <w:p w14:paraId="243E1C18" w14:textId="77777777" w:rsidR="000D6211" w:rsidRPr="000D6211" w:rsidRDefault="000D6211" w:rsidP="000D6211">
      <w:pPr>
        <w:pStyle w:val="ListParagraph"/>
        <w:rPr>
          <w:rFonts w:ascii="Times New Roman" w:hAnsi="Times New Roman" w:cs="Times New Roman"/>
          <w:sz w:val="24"/>
          <w:szCs w:val="24"/>
        </w:rPr>
      </w:pPr>
    </w:p>
    <w:p w14:paraId="0A056B56" w14:textId="77777777" w:rsid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“Owner” shall mean, collectively, the HDFC and the Company.</w:t>
      </w:r>
    </w:p>
    <w:p w14:paraId="142473D9" w14:textId="77777777" w:rsidR="000D6211" w:rsidRPr="000D6211" w:rsidRDefault="000D6211" w:rsidP="000D6211">
      <w:pPr>
        <w:pStyle w:val="ListParagraph"/>
        <w:rPr>
          <w:rFonts w:ascii="Times New Roman" w:hAnsi="Times New Roman" w:cs="Times New Roman"/>
          <w:sz w:val="24"/>
          <w:szCs w:val="24"/>
        </w:rPr>
      </w:pPr>
    </w:p>
    <w:p w14:paraId="27E7EDB9" w14:textId="77777777" w:rsidR="000D6211" w:rsidRPr="000D6211" w:rsidRDefault="000D6211" w:rsidP="000D6211">
      <w:pPr>
        <w:pStyle w:val="ListParagraph"/>
        <w:numPr>
          <w:ilvl w:val="0"/>
          <w:numId w:val="7"/>
        </w:numPr>
        <w:rPr>
          <w:rFonts w:ascii="Times New Roman" w:hAnsi="Times New Roman" w:cs="Times New Roman"/>
          <w:sz w:val="24"/>
          <w:szCs w:val="24"/>
        </w:rPr>
      </w:pPr>
      <w:r w:rsidRPr="000D6211">
        <w:rPr>
          <w:rFonts w:ascii="Times New Roman" w:hAnsi="Times New Roman" w:cs="Times New Roman"/>
          <w:sz w:val="24"/>
          <w:szCs w:val="24"/>
        </w:rPr>
        <w:t>“Regulatory Agreement” shall mean the regulatory agreement between HPD and the Owner establishing certain controls upon the operation of the Exemption Area during the term of the Exemption.</w:t>
      </w:r>
    </w:p>
    <w:p w14:paraId="47708801" w14:textId="77777777" w:rsidR="00702785" w:rsidRPr="00702785" w:rsidRDefault="00702785" w:rsidP="00702785">
      <w:pPr>
        <w:ind w:left="0" w:firstLine="0"/>
        <w:rPr>
          <w:rFonts w:ascii="Times New Roman" w:hAnsi="Times New Roman" w:cs="Times New Roman"/>
          <w:sz w:val="24"/>
          <w:szCs w:val="24"/>
        </w:rPr>
      </w:pPr>
    </w:p>
    <w:p w14:paraId="1DD7D324" w14:textId="073F94B8" w:rsidR="00D56BCF" w:rsidRDefault="008659EA" w:rsidP="00A01EFA">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0D6211" w:rsidRPr="000D6211">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r w:rsidR="000D6211">
        <w:rPr>
          <w:rFonts w:ascii="Times New Roman" w:hAnsi="Times New Roman" w:cs="Times New Roman"/>
          <w:sz w:val="24"/>
          <w:szCs w:val="24"/>
        </w:rPr>
        <w:t>.</w:t>
      </w:r>
    </w:p>
    <w:p w14:paraId="0208698C" w14:textId="77777777" w:rsidR="000D6211" w:rsidRDefault="000D6211" w:rsidP="00A01EFA">
      <w:pPr>
        <w:pStyle w:val="ListParagraph"/>
        <w:ind w:left="0" w:firstLine="0"/>
        <w:rPr>
          <w:rFonts w:ascii="Times New Roman" w:hAnsi="Times New Roman" w:cs="Times New Roman"/>
          <w:sz w:val="24"/>
          <w:szCs w:val="24"/>
        </w:rPr>
      </w:pPr>
    </w:p>
    <w:p w14:paraId="1DD8BE6F" w14:textId="58556774" w:rsidR="000D6211" w:rsidRDefault="000D6211" w:rsidP="00A01EFA">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3. </w:t>
      </w:r>
      <w:r w:rsidRPr="000D6211">
        <w:rPr>
          <w:rFonts w:ascii="Times New Roman" w:hAnsi="Times New Roman" w:cs="Times New Roman"/>
          <w:sz w:val="24"/>
          <w:szCs w:val="24"/>
        </w:rPr>
        <w:t>Commencing upon the Effective Date, and during each year thereafter until the Expiration Date, the Owner shall make real property tax payments in the sum of the Contract Rent Differential Tax.</w:t>
      </w:r>
    </w:p>
    <w:p w14:paraId="280C11F6" w14:textId="77777777" w:rsidR="00A01EFA" w:rsidRDefault="00A01EFA" w:rsidP="00A01EFA">
      <w:pPr>
        <w:pStyle w:val="ListParagraph"/>
        <w:ind w:left="0" w:firstLine="0"/>
        <w:rPr>
          <w:rFonts w:ascii="Times New Roman" w:hAnsi="Times New Roman" w:cs="Times New Roman"/>
          <w:sz w:val="24"/>
          <w:szCs w:val="24"/>
        </w:rPr>
      </w:pPr>
    </w:p>
    <w:p w14:paraId="304120DB" w14:textId="377DE984" w:rsidR="00702785" w:rsidRDefault="000D6211" w:rsidP="00D56BCF">
      <w:pPr>
        <w:ind w:left="0" w:firstLine="0"/>
        <w:rPr>
          <w:rFonts w:ascii="Times New Roman" w:hAnsi="Times New Roman" w:cs="Times New Roman"/>
          <w:sz w:val="24"/>
          <w:szCs w:val="24"/>
        </w:rPr>
      </w:pPr>
      <w:r>
        <w:rPr>
          <w:rFonts w:ascii="Times New Roman" w:hAnsi="Times New Roman" w:cs="Times New Roman"/>
          <w:sz w:val="24"/>
          <w:szCs w:val="24"/>
        </w:rPr>
        <w:t>4</w:t>
      </w:r>
      <w:r w:rsidR="00D56BCF">
        <w:rPr>
          <w:rFonts w:ascii="Times New Roman" w:hAnsi="Times New Roman" w:cs="Times New Roman"/>
          <w:sz w:val="24"/>
          <w:szCs w:val="24"/>
        </w:rPr>
        <w:t xml:space="preserve">. </w:t>
      </w:r>
      <w:r w:rsidR="00702785" w:rsidRPr="00702785">
        <w:rPr>
          <w:rFonts w:ascii="Times New Roman" w:hAnsi="Times New Roman" w:cs="Times New Roman"/>
          <w:sz w:val="24"/>
          <w:szCs w:val="24"/>
        </w:rPr>
        <w:t>Notwithstanding any provision hereof to the contrary:</w:t>
      </w:r>
    </w:p>
    <w:p w14:paraId="565400DD" w14:textId="77777777" w:rsidR="0032785F" w:rsidRPr="00702785" w:rsidRDefault="0032785F" w:rsidP="00D56BCF">
      <w:pPr>
        <w:ind w:left="0" w:firstLine="0"/>
        <w:rPr>
          <w:rFonts w:ascii="Times New Roman" w:hAnsi="Times New Roman" w:cs="Times New Roman"/>
          <w:sz w:val="24"/>
          <w:szCs w:val="24"/>
        </w:rPr>
      </w:pPr>
    </w:p>
    <w:p w14:paraId="1F99AAC5" w14:textId="77777777" w:rsidR="000D6211" w:rsidRDefault="000D6211" w:rsidP="000D6211">
      <w:pPr>
        <w:pStyle w:val="ListParagraph"/>
        <w:numPr>
          <w:ilvl w:val="0"/>
          <w:numId w:val="25"/>
        </w:numPr>
        <w:rPr>
          <w:rFonts w:ascii="Times New Roman" w:hAnsi="Times New Roman" w:cs="Times New Roman"/>
          <w:sz w:val="24"/>
          <w:szCs w:val="24"/>
        </w:rPr>
      </w:pPr>
      <w:r w:rsidRPr="000D6211">
        <w:rPr>
          <w:rFonts w:ascii="Times New Roman" w:hAnsi="Times New Roman" w:cs="Times New Roman"/>
          <w:sz w:val="24"/>
          <w:szCs w:val="24"/>
        </w:rPr>
        <w:t xml:space="preserve">The Exemption shall terminate if HPD determines at any time that (i) the Exemption Area is not being operated in accordance with the requirements of Article XI of the Private </w:t>
      </w:r>
      <w:r w:rsidRPr="000D6211">
        <w:rPr>
          <w:rFonts w:ascii="Times New Roman" w:hAnsi="Times New Roman" w:cs="Times New Roman"/>
          <w:sz w:val="24"/>
          <w:szCs w:val="24"/>
        </w:rPr>
        <w:lastRenderedPageBreak/>
        <w:t xml:space="preserve">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0D6211">
        <w:rPr>
          <w:rFonts w:ascii="Times New Roman" w:hAnsi="Times New Roman" w:cs="Times New Roman"/>
          <w:sz w:val="24"/>
          <w:szCs w:val="24"/>
        </w:rPr>
        <w:t>time period</w:t>
      </w:r>
      <w:proofErr w:type="gramEnd"/>
      <w:r w:rsidRPr="000D6211">
        <w:rPr>
          <w:rFonts w:ascii="Times New Roman" w:hAnsi="Times New Roman" w:cs="Times New Roman"/>
          <w:sz w:val="24"/>
          <w:szCs w:val="24"/>
        </w:rPr>
        <w:t xml:space="preserve"> specified therein, the Exemption shall prospectively terminate.</w:t>
      </w:r>
    </w:p>
    <w:p w14:paraId="206A776B" w14:textId="77777777" w:rsidR="000D6211" w:rsidRPr="000D6211" w:rsidRDefault="000D6211" w:rsidP="000D6211">
      <w:pPr>
        <w:rPr>
          <w:rFonts w:ascii="Times New Roman" w:hAnsi="Times New Roman" w:cs="Times New Roman"/>
          <w:sz w:val="24"/>
          <w:szCs w:val="24"/>
        </w:rPr>
      </w:pPr>
    </w:p>
    <w:p w14:paraId="11263FB9" w14:textId="4F12B04A" w:rsidR="000D6211" w:rsidRPr="000D6211" w:rsidRDefault="000D6211" w:rsidP="000D6211">
      <w:pPr>
        <w:pStyle w:val="ListParagraph"/>
        <w:numPr>
          <w:ilvl w:val="0"/>
          <w:numId w:val="25"/>
        </w:numPr>
        <w:rPr>
          <w:rFonts w:ascii="Times New Roman" w:hAnsi="Times New Roman" w:cs="Times New Roman"/>
          <w:sz w:val="24"/>
          <w:szCs w:val="24"/>
        </w:rPr>
      </w:pPr>
      <w:r w:rsidRPr="000D6211">
        <w:rPr>
          <w:rFonts w:ascii="Times New Roman" w:hAnsi="Times New Roman" w:cs="Times New Roman"/>
          <w:sz w:val="24"/>
          <w:szCs w:val="24"/>
        </w:rPr>
        <w:t xml:space="preserve">The Exemption shall apply to all land in the Exemption </w:t>
      </w:r>
      <w:proofErr w:type="gramStart"/>
      <w:r w:rsidRPr="000D6211">
        <w:rPr>
          <w:rFonts w:ascii="Times New Roman" w:hAnsi="Times New Roman" w:cs="Times New Roman"/>
          <w:sz w:val="24"/>
          <w:szCs w:val="24"/>
        </w:rPr>
        <w:t>Area, but</w:t>
      </w:r>
      <w:proofErr w:type="gramEnd"/>
      <w:r w:rsidRPr="000D6211">
        <w:rPr>
          <w:rFonts w:ascii="Times New Roman" w:hAnsi="Times New Roman" w:cs="Times New Roman"/>
          <w:sz w:val="24"/>
          <w:szCs w:val="24"/>
        </w:rPr>
        <w:t xml:space="preserve"> shall only apply </w:t>
      </w:r>
      <w:proofErr w:type="gramStart"/>
      <w:r w:rsidRPr="000D6211">
        <w:rPr>
          <w:rFonts w:ascii="Times New Roman" w:hAnsi="Times New Roman" w:cs="Times New Roman"/>
          <w:sz w:val="24"/>
          <w:szCs w:val="24"/>
        </w:rPr>
        <w:t>to  buildings</w:t>
      </w:r>
      <w:proofErr w:type="gramEnd"/>
      <w:r w:rsidRPr="000D6211">
        <w:rPr>
          <w:rFonts w:ascii="Times New Roman" w:hAnsi="Times New Roman" w:cs="Times New Roman"/>
          <w:sz w:val="24"/>
          <w:szCs w:val="24"/>
        </w:rPr>
        <w:t xml:space="preserve"> on the Exemption Area that exist on the Effective Date.</w:t>
      </w:r>
    </w:p>
    <w:p w14:paraId="4F4D241C" w14:textId="77777777" w:rsidR="000D6211" w:rsidRPr="000D6211" w:rsidRDefault="000D6211" w:rsidP="000D6211">
      <w:pPr>
        <w:pStyle w:val="ListParagraph"/>
        <w:rPr>
          <w:rFonts w:ascii="Times New Roman" w:hAnsi="Times New Roman" w:cs="Times New Roman"/>
          <w:sz w:val="24"/>
          <w:szCs w:val="24"/>
        </w:rPr>
      </w:pPr>
    </w:p>
    <w:p w14:paraId="07BC87BB" w14:textId="77777777" w:rsidR="000D6211" w:rsidRDefault="000D6211" w:rsidP="000D6211">
      <w:pPr>
        <w:pStyle w:val="ListParagraph"/>
        <w:numPr>
          <w:ilvl w:val="0"/>
          <w:numId w:val="25"/>
        </w:numPr>
        <w:rPr>
          <w:rFonts w:ascii="Times New Roman" w:hAnsi="Times New Roman" w:cs="Times New Roman"/>
          <w:sz w:val="24"/>
          <w:szCs w:val="24"/>
        </w:rPr>
      </w:pPr>
      <w:r w:rsidRPr="000D6211">
        <w:rPr>
          <w:rFonts w:ascii="Times New Roman" w:hAnsi="Times New Roman" w:cs="Times New Roman"/>
          <w:sz w:val="24"/>
          <w:szCs w:val="24"/>
        </w:rPr>
        <w:t xml:space="preserve">Nothing herein shall entitle </w:t>
      </w:r>
      <w:proofErr w:type="gramStart"/>
      <w:r w:rsidRPr="000D6211">
        <w:rPr>
          <w:rFonts w:ascii="Times New Roman" w:hAnsi="Times New Roman" w:cs="Times New Roman"/>
          <w:sz w:val="24"/>
          <w:szCs w:val="24"/>
        </w:rPr>
        <w:t>the HDFC</w:t>
      </w:r>
      <w:proofErr w:type="gramEnd"/>
      <w:r w:rsidRPr="000D6211">
        <w:rPr>
          <w:rFonts w:ascii="Times New Roman" w:hAnsi="Times New Roman" w:cs="Times New Roman"/>
          <w:sz w:val="24"/>
          <w:szCs w:val="24"/>
        </w:rPr>
        <w:t xml:space="preserve">, the Owner, or any other person or entity to a refund of any real property taxes which </w:t>
      </w:r>
      <w:proofErr w:type="gramStart"/>
      <w:r w:rsidRPr="000D6211">
        <w:rPr>
          <w:rFonts w:ascii="Times New Roman" w:hAnsi="Times New Roman" w:cs="Times New Roman"/>
          <w:sz w:val="24"/>
          <w:szCs w:val="24"/>
        </w:rPr>
        <w:t>accrued</w:t>
      </w:r>
      <w:proofErr w:type="gramEnd"/>
      <w:r w:rsidRPr="000D6211">
        <w:rPr>
          <w:rFonts w:ascii="Times New Roman" w:hAnsi="Times New Roman" w:cs="Times New Roman"/>
          <w:sz w:val="24"/>
          <w:szCs w:val="24"/>
        </w:rPr>
        <w:t xml:space="preserve"> and were paid with respect to the Exemption Area prior to the Effective Date.</w:t>
      </w:r>
    </w:p>
    <w:p w14:paraId="38C3D50D" w14:textId="77777777" w:rsidR="006426F5" w:rsidRPr="000D6211" w:rsidRDefault="006426F5" w:rsidP="000D6211">
      <w:pPr>
        <w:ind w:left="0" w:firstLine="0"/>
        <w:rPr>
          <w:rFonts w:ascii="Times New Roman" w:hAnsi="Times New Roman" w:cs="Times New Roman"/>
          <w:sz w:val="24"/>
          <w:szCs w:val="24"/>
        </w:rPr>
      </w:pPr>
    </w:p>
    <w:p w14:paraId="2059FCF1" w14:textId="4472618A" w:rsidR="008659EA" w:rsidRPr="00EB36BF" w:rsidRDefault="000D6211" w:rsidP="00EB36BF">
      <w:pPr>
        <w:ind w:left="0" w:firstLine="0"/>
        <w:rPr>
          <w:rFonts w:ascii="Times New Roman" w:hAnsi="Times New Roman" w:cs="Times New Roman"/>
          <w:sz w:val="24"/>
          <w:szCs w:val="24"/>
        </w:rPr>
      </w:pPr>
      <w:r>
        <w:rPr>
          <w:rFonts w:ascii="Times New Roman" w:hAnsi="Times New Roman" w:cs="Times New Roman"/>
          <w:sz w:val="24"/>
          <w:szCs w:val="24"/>
        </w:rPr>
        <w:t>5</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Pr="000D6211">
        <w:rPr>
          <w:rFonts w:ascii="Times New Roman" w:hAnsi="Times New Roman" w:cs="Times New Roman"/>
          <w:sz w:val="24"/>
          <w:szCs w:val="24"/>
        </w:rPr>
        <w:t>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r w:rsidR="008539DC" w:rsidRPr="008539DC">
        <w:rPr>
          <w:rFonts w:ascii="Times New Roman" w:hAnsi="Times New Roman" w:cs="Times New Roman"/>
          <w:sz w:val="24"/>
          <w:szCs w:val="24"/>
        </w:rPr>
        <w:t>.</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Default="0064609E" w:rsidP="00C57AF3">
      <w:pPr>
        <w:shd w:val="clear" w:color="auto" w:fill="FFFFFF"/>
        <w:spacing w:after="240" w:line="240" w:lineRule="auto"/>
        <w:ind w:left="5040" w:firstLine="0"/>
        <w:rPr>
          <w:rFonts w:ascii="Times New Roman" w:eastAsia="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p w14:paraId="4D8A2B6F"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E57A153"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sectPr w:rsidR="006426F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6E97" w14:textId="77777777" w:rsidR="00BC583C" w:rsidRDefault="00BC583C">
      <w:pPr>
        <w:spacing w:after="0" w:line="240" w:lineRule="auto"/>
      </w:pPr>
      <w:r>
        <w:separator/>
      </w:r>
    </w:p>
  </w:endnote>
  <w:endnote w:type="continuationSeparator" w:id="0">
    <w:p w14:paraId="67A78460" w14:textId="77777777" w:rsidR="00BC583C" w:rsidRDefault="00BC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8F130" w14:textId="77777777" w:rsidR="00BC583C" w:rsidRDefault="00BC583C">
      <w:pPr>
        <w:spacing w:after="0" w:line="240" w:lineRule="auto"/>
      </w:pPr>
      <w:r>
        <w:separator/>
      </w:r>
    </w:p>
  </w:footnote>
  <w:footnote w:type="continuationSeparator" w:id="0">
    <w:p w14:paraId="3E0796A6" w14:textId="77777777" w:rsidR="00BC583C" w:rsidRDefault="00BC5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211"/>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C554A"/>
    <w:rsid w:val="001D17F3"/>
    <w:rsid w:val="001D2A9A"/>
    <w:rsid w:val="00235A67"/>
    <w:rsid w:val="002554CB"/>
    <w:rsid w:val="00274924"/>
    <w:rsid w:val="00280C98"/>
    <w:rsid w:val="0028371C"/>
    <w:rsid w:val="00296DB9"/>
    <w:rsid w:val="002A1C2F"/>
    <w:rsid w:val="002B3482"/>
    <w:rsid w:val="002B4499"/>
    <w:rsid w:val="002C03A3"/>
    <w:rsid w:val="002C5429"/>
    <w:rsid w:val="002D1250"/>
    <w:rsid w:val="002D3CC1"/>
    <w:rsid w:val="002F0ADA"/>
    <w:rsid w:val="00326F49"/>
    <w:rsid w:val="0032785F"/>
    <w:rsid w:val="00341301"/>
    <w:rsid w:val="003438A9"/>
    <w:rsid w:val="00370C25"/>
    <w:rsid w:val="0037354F"/>
    <w:rsid w:val="00394529"/>
    <w:rsid w:val="003A234F"/>
    <w:rsid w:val="003A37E6"/>
    <w:rsid w:val="003B253C"/>
    <w:rsid w:val="003C1A07"/>
    <w:rsid w:val="003C58FD"/>
    <w:rsid w:val="004060A6"/>
    <w:rsid w:val="004323D3"/>
    <w:rsid w:val="00441BA0"/>
    <w:rsid w:val="00441F57"/>
    <w:rsid w:val="004643A9"/>
    <w:rsid w:val="004A1498"/>
    <w:rsid w:val="004B115E"/>
    <w:rsid w:val="004B2E3A"/>
    <w:rsid w:val="004B5C53"/>
    <w:rsid w:val="004C6963"/>
    <w:rsid w:val="004D3C58"/>
    <w:rsid w:val="004D73D6"/>
    <w:rsid w:val="004E1617"/>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6F5"/>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2785"/>
    <w:rsid w:val="007045B4"/>
    <w:rsid w:val="007330FC"/>
    <w:rsid w:val="00743B5D"/>
    <w:rsid w:val="007618BF"/>
    <w:rsid w:val="007734A3"/>
    <w:rsid w:val="0079516A"/>
    <w:rsid w:val="007A031A"/>
    <w:rsid w:val="007A73F6"/>
    <w:rsid w:val="007C2DE4"/>
    <w:rsid w:val="007C5499"/>
    <w:rsid w:val="007D2960"/>
    <w:rsid w:val="007E5C51"/>
    <w:rsid w:val="00820B41"/>
    <w:rsid w:val="00827948"/>
    <w:rsid w:val="00830FA9"/>
    <w:rsid w:val="0084314A"/>
    <w:rsid w:val="008539DC"/>
    <w:rsid w:val="0085666E"/>
    <w:rsid w:val="00864E60"/>
    <w:rsid w:val="008659EA"/>
    <w:rsid w:val="00874218"/>
    <w:rsid w:val="00896A30"/>
    <w:rsid w:val="008B0066"/>
    <w:rsid w:val="008B2095"/>
    <w:rsid w:val="008B61F7"/>
    <w:rsid w:val="008D591D"/>
    <w:rsid w:val="008E4236"/>
    <w:rsid w:val="008E53F9"/>
    <w:rsid w:val="008E78F5"/>
    <w:rsid w:val="008F1D1C"/>
    <w:rsid w:val="00901C82"/>
    <w:rsid w:val="0090208A"/>
    <w:rsid w:val="0090597D"/>
    <w:rsid w:val="00910FCD"/>
    <w:rsid w:val="00915763"/>
    <w:rsid w:val="009419D7"/>
    <w:rsid w:val="009673B9"/>
    <w:rsid w:val="00980C40"/>
    <w:rsid w:val="009B0710"/>
    <w:rsid w:val="009B64A7"/>
    <w:rsid w:val="009C163D"/>
    <w:rsid w:val="009D5153"/>
    <w:rsid w:val="009E6D4C"/>
    <w:rsid w:val="009F5581"/>
    <w:rsid w:val="00A01EFA"/>
    <w:rsid w:val="00A04C22"/>
    <w:rsid w:val="00A3343F"/>
    <w:rsid w:val="00A45133"/>
    <w:rsid w:val="00A6234E"/>
    <w:rsid w:val="00A630EB"/>
    <w:rsid w:val="00A73E80"/>
    <w:rsid w:val="00A83041"/>
    <w:rsid w:val="00A86E3F"/>
    <w:rsid w:val="00A901ED"/>
    <w:rsid w:val="00A92383"/>
    <w:rsid w:val="00AB765A"/>
    <w:rsid w:val="00AF3804"/>
    <w:rsid w:val="00B03BF8"/>
    <w:rsid w:val="00B04AC0"/>
    <w:rsid w:val="00B06BB5"/>
    <w:rsid w:val="00B1481B"/>
    <w:rsid w:val="00B22042"/>
    <w:rsid w:val="00B2356F"/>
    <w:rsid w:val="00B476F8"/>
    <w:rsid w:val="00B54C37"/>
    <w:rsid w:val="00B658A8"/>
    <w:rsid w:val="00B731A5"/>
    <w:rsid w:val="00B9070C"/>
    <w:rsid w:val="00B967EA"/>
    <w:rsid w:val="00BC583C"/>
    <w:rsid w:val="00BC7BD2"/>
    <w:rsid w:val="00BD40B4"/>
    <w:rsid w:val="00BD616D"/>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94F10"/>
    <w:rsid w:val="00CB51DB"/>
    <w:rsid w:val="00CB70AE"/>
    <w:rsid w:val="00CD27D5"/>
    <w:rsid w:val="00CE268C"/>
    <w:rsid w:val="00CE2A11"/>
    <w:rsid w:val="00CE6A74"/>
    <w:rsid w:val="00CF7345"/>
    <w:rsid w:val="00D06618"/>
    <w:rsid w:val="00D07B72"/>
    <w:rsid w:val="00D136FF"/>
    <w:rsid w:val="00D178BA"/>
    <w:rsid w:val="00D23896"/>
    <w:rsid w:val="00D307EE"/>
    <w:rsid w:val="00D41AFA"/>
    <w:rsid w:val="00D52503"/>
    <w:rsid w:val="00D56BCF"/>
    <w:rsid w:val="00D740B6"/>
    <w:rsid w:val="00D75E1A"/>
    <w:rsid w:val="00D84A43"/>
    <w:rsid w:val="00D91B72"/>
    <w:rsid w:val="00D956A4"/>
    <w:rsid w:val="00D97AA5"/>
    <w:rsid w:val="00DA55D5"/>
    <w:rsid w:val="00DB6E72"/>
    <w:rsid w:val="00DC6C41"/>
    <w:rsid w:val="00DE0000"/>
    <w:rsid w:val="00DE13C8"/>
    <w:rsid w:val="00DE52E7"/>
    <w:rsid w:val="00DF0587"/>
    <w:rsid w:val="00DF7A16"/>
    <w:rsid w:val="00E216D7"/>
    <w:rsid w:val="00E21B7D"/>
    <w:rsid w:val="00E34B1F"/>
    <w:rsid w:val="00E542C4"/>
    <w:rsid w:val="00E5483E"/>
    <w:rsid w:val="00E66458"/>
    <w:rsid w:val="00E77702"/>
    <w:rsid w:val="00EB36BF"/>
    <w:rsid w:val="00EC021E"/>
    <w:rsid w:val="00EC6EF8"/>
    <w:rsid w:val="00ED01D4"/>
    <w:rsid w:val="00EF4C28"/>
    <w:rsid w:val="00EF6703"/>
    <w:rsid w:val="00F038F0"/>
    <w:rsid w:val="00F05CAC"/>
    <w:rsid w:val="00F114AE"/>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 w:type="table" w:styleId="TableGrid">
    <w:name w:val="Table Grid"/>
    <w:basedOn w:val="TableNormal"/>
    <w:uiPriority w:val="59"/>
    <w:rsid w:val="006426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1069</Words>
  <Characters>6094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2026-06-05T23:19:00Z</dcterms:created>
  <dcterms:modified xsi:type="dcterms:W3CDTF">2026-06-05T23:19:00Z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