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6877D0BF" w:rsidR="00356568" w:rsidRPr="001F60F4" w:rsidRDefault="0011342C"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10864611"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11342C">
        <w:rPr>
          <w:rFonts w:ascii="Times New Roman" w:eastAsia="Times New Roman" w:hAnsi="Times New Roman" w:cs="Times New Roman"/>
          <w:sz w:val="24"/>
          <w:szCs w:val="24"/>
        </w:rPr>
        <w:t>The Pearl</w:t>
      </w:r>
      <w:r w:rsidR="00CA4B5B" w:rsidRPr="00CA4B5B">
        <w:rPr>
          <w:rFonts w:ascii="Times New Roman" w:eastAsia="Times New Roman" w:hAnsi="Times New Roman" w:cs="Times New Roman"/>
          <w:sz w:val="24"/>
          <w:szCs w:val="24"/>
        </w:rPr>
        <w:t xml:space="preserve">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11342C">
        <w:rPr>
          <w:rFonts w:ascii="Times New Roman" w:eastAsia="Times New Roman" w:hAnsi="Times New Roman" w:cs="Times New Roman"/>
          <w:sz w:val="24"/>
          <w:szCs w:val="24"/>
        </w:rPr>
        <w:t>9</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6C389FCF" w:rsidR="00A468AA" w:rsidRPr="001F60F4" w:rsidRDefault="0011342C" w:rsidP="00A375CC">
      <w:pPr>
        <w:rPr>
          <w:rFonts w:ascii="Times New Roman" w:hAnsi="Times New Roman" w:cs="Times New Roman"/>
          <w:b/>
          <w:sz w:val="24"/>
          <w:szCs w:val="24"/>
          <w:u w:val="single"/>
        </w:rPr>
      </w:pPr>
      <w:r>
        <w:rPr>
          <w:rFonts w:ascii="Times New Roman" w:hAnsi="Times New Roman" w:cs="Times New Roman"/>
          <w:b/>
          <w:sz w:val="24"/>
          <w:szCs w:val="24"/>
          <w:u w:val="single"/>
        </w:rPr>
        <w:t>The Pearl</w:t>
      </w:r>
    </w:p>
    <w:p w14:paraId="4C3539ED" w14:textId="3AC9268C" w:rsidR="001278E9" w:rsidRDefault="008D36D2" w:rsidP="008D36D2">
      <w:pPr>
        <w:pStyle w:val="MediumGrid1-Accent21"/>
        <w:ind w:left="0"/>
      </w:pPr>
      <w:r w:rsidRPr="008D36D2">
        <w:rPr>
          <w:b/>
          <w:bCs/>
        </w:rPr>
        <w:t>Type of Exemption Requested:</w:t>
      </w:r>
      <w:r>
        <w:t xml:space="preserve"> </w:t>
      </w:r>
      <w:r w:rsidR="001278E9">
        <w:t xml:space="preserve">Article </w:t>
      </w:r>
      <w:r w:rsidR="00B21C77">
        <w:t>XI</w:t>
      </w:r>
      <w:r w:rsidR="001278E9">
        <w:t xml:space="preserve"> Exemption</w:t>
      </w:r>
    </w:p>
    <w:p w14:paraId="548B9A80" w14:textId="77777777" w:rsidR="001278E9" w:rsidRDefault="001278E9" w:rsidP="008D36D2">
      <w:pPr>
        <w:pStyle w:val="MediumGrid1-Accent21"/>
        <w:ind w:left="0"/>
      </w:pPr>
    </w:p>
    <w:p w14:paraId="03A52DB3" w14:textId="77777777" w:rsidR="0011342C" w:rsidRPr="0011342C" w:rsidRDefault="0011342C" w:rsidP="0011342C">
      <w:pPr>
        <w:pStyle w:val="MediumGrid1-Accent21"/>
        <w:ind w:left="0"/>
      </w:pPr>
      <w:r w:rsidRPr="0011342C">
        <w:t>The Pearl (the “Project”) is a 20-unit affordable project located in Hamiliton Heights, Manhattan. The Project includes 14 studios, 3 one-bedrooms, and 3 two-bedrooms with rents ranging from 57-100% AMI. The Project originally closed under HPD’s NCP term sheet with O.W.J.E. Realty Co. Inc. as the sponsor in January 2021.</w:t>
      </w:r>
    </w:p>
    <w:p w14:paraId="72D6D6A9" w14:textId="77777777" w:rsidR="0011342C" w:rsidRPr="0011342C" w:rsidRDefault="0011342C" w:rsidP="0011342C">
      <w:pPr>
        <w:pStyle w:val="MediumGrid1-Accent21"/>
        <w:ind w:left="0"/>
      </w:pPr>
    </w:p>
    <w:p w14:paraId="36F5F8CC" w14:textId="77777777" w:rsidR="0011342C" w:rsidRPr="0011342C" w:rsidRDefault="0011342C" w:rsidP="0011342C">
      <w:pPr>
        <w:pStyle w:val="MediumGrid1-Accent21"/>
        <w:ind w:left="0"/>
      </w:pPr>
      <w:r w:rsidRPr="0011342C">
        <w:t>After the first loan closing in 2021, the Project almost immediately experienced significant cost overruns and a nearly year-long construction delay. It was forced to go through several redesigns due to circumstances beyond the control of the development team such as contaminated soil, adjacent property requirements, and a stop work order. There were delays in securing the necessary amended access agreement from the neighboring property owner as well. In addition to the design-related delays and cost overruns, the Project experienced COVID-19 related impacts, further distressing the Project. Due to this initial underbid of costs, the Project closed on a first loan increase in January 2024.</w:t>
      </w:r>
    </w:p>
    <w:p w14:paraId="15567710" w14:textId="77777777" w:rsidR="0011342C" w:rsidRPr="0011342C" w:rsidRDefault="0011342C" w:rsidP="0011342C">
      <w:pPr>
        <w:pStyle w:val="MediumGrid1-Accent21"/>
        <w:ind w:left="0"/>
      </w:pPr>
    </w:p>
    <w:p w14:paraId="31226932" w14:textId="77777777" w:rsidR="0011342C" w:rsidRPr="0011342C" w:rsidRDefault="0011342C" w:rsidP="0011342C">
      <w:pPr>
        <w:pStyle w:val="MediumGrid1-Accent21"/>
        <w:ind w:left="0"/>
      </w:pPr>
      <w:r w:rsidRPr="0011342C">
        <w:t xml:space="preserve">After the first loan increase, construction delays continued. The construction lender’s (Community Preservation Corporation) construction monitoring team investigated and discovered there was a breakdown in communication and flow of information between the architect and the General Contractor (“GC”). The Project closed without 100% construction drawings, and the GC did not have the necessary drawings to proceed with construction. When the GC submitted change orders, the architect was unable to review and process the change orders expeditiously. As construction proceeded slowly, it was discovered additional updates to the building design were needed and hired a forensic architect determine both the scope of work needed to achieve a TCO for the building and the cost to complete construction. </w:t>
      </w:r>
    </w:p>
    <w:p w14:paraId="102A687A" w14:textId="77777777" w:rsidR="0011342C" w:rsidRPr="0011342C" w:rsidRDefault="0011342C" w:rsidP="0011342C">
      <w:pPr>
        <w:pStyle w:val="MediumGrid1-Accent21"/>
        <w:ind w:left="0"/>
      </w:pPr>
    </w:p>
    <w:p w14:paraId="45F6C478" w14:textId="77777777" w:rsidR="0011342C" w:rsidRPr="0011342C" w:rsidRDefault="0011342C" w:rsidP="0011342C">
      <w:pPr>
        <w:pStyle w:val="MediumGrid1-Accent21"/>
        <w:ind w:left="0"/>
      </w:pPr>
      <w:r w:rsidRPr="0011342C">
        <w:t xml:space="preserve">The Project is now pursuing a second loan increase from HPD and anticipates a June 2026 closing. With the forensic architect on board, design deficiencies identified, and design revisions in progress, the Project is targeting construction completion in February 2027. The developer has agreed to make all units permanently affordable at the second loan increase closing. The developer has also agreed to revise the AMI mix to preserve deeper affordability, while balancing additional subsidy need. These changes will be in the second amendment to the January 26, 2021 Regulatory Agreement, which will be amended at closing to update the current regulatory term from 35 years to be in perpetuity.  </w:t>
      </w:r>
    </w:p>
    <w:p w14:paraId="024145AE" w14:textId="3A00A105" w:rsidR="00606865" w:rsidRPr="007E4431" w:rsidRDefault="00DF74A3" w:rsidP="00DC11C6">
      <w:pPr>
        <w:pStyle w:val="MediumGrid1-Accent21"/>
        <w:ind w:left="0"/>
        <w:rPr>
          <w:u w:val="single"/>
        </w:rPr>
      </w:pPr>
      <w:r>
        <w:rPr>
          <w:rFonts w:eastAsia="Arial"/>
          <w:u w:val="single"/>
        </w:rPr>
        <w:br/>
      </w:r>
      <w:r w:rsidR="00606865" w:rsidRPr="007E4431">
        <w:rPr>
          <w:u w:val="single"/>
        </w:rPr>
        <w:t xml:space="preserve">Summary: </w:t>
      </w:r>
    </w:p>
    <w:p w14:paraId="1D1AD631" w14:textId="4313B6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11342C">
        <w:rPr>
          <w:rFonts w:ascii="Times New Roman" w:hAnsi="Times New Roman" w:cs="Times New Roman"/>
          <w:sz w:val="24"/>
          <w:szCs w:val="24"/>
        </w:rPr>
        <w:t>Manhattan</w:t>
      </w:r>
    </w:p>
    <w:p w14:paraId="5BCE735B" w14:textId="6E117840"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w:t>
      </w:r>
      <w:r w:rsidR="0011342C">
        <w:rPr>
          <w:rFonts w:ascii="Times New Roman" w:hAnsi="Times New Roman" w:cs="Times New Roman"/>
          <w:sz w:val="24"/>
          <w:szCs w:val="24"/>
        </w:rPr>
        <w:t>2051</w:t>
      </w:r>
      <w:r w:rsidRPr="00CA4B5B">
        <w:rPr>
          <w:rFonts w:ascii="Times New Roman" w:hAnsi="Times New Roman" w:cs="Times New Roman"/>
          <w:sz w:val="24"/>
          <w:szCs w:val="24"/>
        </w:rPr>
        <w:t xml:space="preserve">, Lot </w:t>
      </w:r>
      <w:r w:rsidR="0011342C">
        <w:rPr>
          <w:rFonts w:ascii="Times New Roman" w:hAnsi="Times New Roman" w:cs="Times New Roman"/>
          <w:sz w:val="24"/>
          <w:szCs w:val="24"/>
        </w:rPr>
        <w:t>6</w:t>
      </w:r>
      <w:r w:rsidRPr="00CA4B5B">
        <w:rPr>
          <w:rFonts w:ascii="Times New Roman" w:hAnsi="Times New Roman" w:cs="Times New Roman"/>
          <w:sz w:val="24"/>
          <w:szCs w:val="24"/>
        </w:rPr>
        <w:t xml:space="preserve"> </w:t>
      </w:r>
    </w:p>
    <w:p w14:paraId="76645B9F" w14:textId="73C3F18C"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11342C">
        <w:rPr>
          <w:rFonts w:ascii="Times New Roman" w:hAnsi="Times New Roman" w:cs="Times New Roman"/>
          <w:sz w:val="24"/>
          <w:szCs w:val="24"/>
        </w:rPr>
        <w:t>Salaam</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6BC97B80"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CA4B5B">
        <w:rPr>
          <w:rFonts w:ascii="Times New Roman" w:hAnsi="Times New Roman" w:cs="Times New Roman"/>
          <w:sz w:val="24"/>
          <w:szCs w:val="24"/>
        </w:rPr>
        <w:t>1</w:t>
      </w:r>
    </w:p>
    <w:p w14:paraId="437D6B5F" w14:textId="7BCED5F3"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11342C">
        <w:rPr>
          <w:rFonts w:ascii="Times New Roman" w:hAnsi="Times New Roman" w:cs="Times New Roman"/>
          <w:sz w:val="24"/>
          <w:szCs w:val="24"/>
        </w:rPr>
        <w:t>20</w:t>
      </w:r>
      <w:r w:rsidR="00AA16C6">
        <w:rPr>
          <w:rFonts w:ascii="Times New Roman" w:hAnsi="Times New Roman" w:cs="Times New Roman"/>
          <w:sz w:val="24"/>
          <w:szCs w:val="24"/>
        </w:rPr>
        <w:t xml:space="preserve"> residential</w:t>
      </w:r>
    </w:p>
    <w:p w14:paraId="36793923" w14:textId="77777777" w:rsidR="00DC11C6" w:rsidRDefault="0014209D" w:rsidP="00DC11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DC11C6">
        <w:rPr>
          <w:rFonts w:ascii="Times New Roman" w:hAnsi="Times New Roman" w:cs="Times New Roman"/>
          <w:sz w:val="24"/>
          <w:szCs w:val="24"/>
        </w:rPr>
        <w:t>partial</w:t>
      </w:r>
      <w:r w:rsidR="00CA4B5B">
        <w:rPr>
          <w:rFonts w:ascii="Times New Roman" w:hAnsi="Times New Roman" w:cs="Times New Roman"/>
          <w:sz w:val="24"/>
          <w:szCs w:val="24"/>
        </w:rPr>
        <w:t xml:space="preserve">, </w:t>
      </w:r>
      <w:r w:rsidR="00DC11C6">
        <w:rPr>
          <w:rFonts w:ascii="Times New Roman" w:hAnsi="Times New Roman" w:cs="Times New Roman"/>
          <w:sz w:val="24"/>
          <w:szCs w:val="24"/>
        </w:rPr>
        <w:t>4</w:t>
      </w:r>
      <w:r w:rsidR="00CA4B5B">
        <w:rPr>
          <w:rFonts w:ascii="Times New Roman" w:hAnsi="Times New Roman" w:cs="Times New Roman"/>
          <w:sz w:val="24"/>
          <w:szCs w:val="24"/>
        </w:rPr>
        <w:t>0* years</w:t>
      </w:r>
    </w:p>
    <w:p w14:paraId="6B6E0B4E" w14:textId="038AF830" w:rsidR="00DC11C6" w:rsidRPr="00CA4B5B" w:rsidRDefault="00DC11C6" w:rsidP="00DC11C6">
      <w:pPr>
        <w:ind w:left="360"/>
        <w:rPr>
          <w:rFonts w:ascii="Times New Roman" w:hAnsi="Times New Roman" w:cs="Times New Roman"/>
          <w:sz w:val="24"/>
          <w:szCs w:val="24"/>
        </w:rPr>
      </w:pPr>
      <w:r w:rsidRPr="00DC11C6">
        <w:rPr>
          <w:rFonts w:ascii="Arial" w:eastAsia="Arial" w:hAnsi="Arial" w:cs="Arial"/>
        </w:rPr>
        <w:t>*</w:t>
      </w:r>
      <w:r w:rsidR="0011342C" w:rsidRPr="0011342C">
        <w:rPr>
          <w:rFonts w:ascii="Times New Roman" w:eastAsia="Arial" w:hAnsi="Times New Roman" w:cs="Times New Roman"/>
          <w:sz w:val="24"/>
          <w:szCs w:val="24"/>
        </w:rPr>
        <w:t>The Article XI exemption will have a term of 40 years, but the term of the Regulatory Agreement will be amended from 35 years to be in in perpetuity.</w:t>
      </w:r>
      <w:r w:rsidRPr="00DC11C6">
        <w:rPr>
          <w:rFonts w:ascii="Times New Roman" w:eastAsia="Arial" w:hAnsi="Times New Roman" w:cs="Times New Roman"/>
          <w:sz w:val="24"/>
          <w:szCs w:val="24"/>
        </w:rPr>
        <w:t>.)</w:t>
      </w: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06CAE7E4"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11342C">
        <w:rPr>
          <w:rFonts w:ascii="Times New Roman" w:hAnsi="Times New Roman" w:cs="Times New Roman"/>
          <w:sz w:val="24"/>
          <w:szCs w:val="24"/>
        </w:rPr>
        <w:t xml:space="preserve"> </w:t>
      </w:r>
      <w:r w:rsidR="0011342C" w:rsidRPr="0011342C">
        <w:rPr>
          <w:rFonts w:ascii="Times New Roman" w:hAnsi="Times New Roman" w:cs="Times New Roman"/>
          <w:sz w:val="24"/>
          <w:szCs w:val="24"/>
        </w:rPr>
        <w:t>HP 349 West 141st Street HDFC (O.W.J.E. Realty)</w:t>
      </w:r>
    </w:p>
    <w:p w14:paraId="275B5F43" w14:textId="0F3F3E51"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11342C">
        <w:rPr>
          <w:rFonts w:ascii="Times New Roman" w:hAnsi="Times New Roman" w:cs="Times New Roman"/>
          <w:sz w:val="24"/>
          <w:szCs w:val="24"/>
        </w:rPr>
        <w:t xml:space="preserve">new construction </w:t>
      </w:r>
    </w:p>
    <w:p w14:paraId="77626155" w14:textId="2C8B8586"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11342C" w:rsidRPr="0011342C">
        <w:rPr>
          <w:rFonts w:ascii="Times New Roman" w:hAnsi="Times New Roman" w:cs="Times New Roman"/>
          <w:sz w:val="24"/>
          <w:szCs w:val="24"/>
        </w:rPr>
        <w:t>6,663,022</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63EB00DD"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11342C">
        <w:rPr>
          <w:rFonts w:ascii="Times New Roman" w:hAnsi="Times New Roman" w:cs="Times New Roman"/>
          <w:sz w:val="24"/>
          <w:szCs w:val="24"/>
        </w:rPr>
        <w:t>0</w:t>
      </w:r>
    </w:p>
    <w:p w14:paraId="32519BFE" w14:textId="55FF9C24"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11342C">
        <w:rPr>
          <w:rFonts w:ascii="Times New Roman" w:hAnsi="Times New Roman" w:cs="Times New Roman"/>
          <w:sz w:val="24"/>
          <w:szCs w:val="24"/>
        </w:rPr>
        <w:t>0</w:t>
      </w:r>
    </w:p>
    <w:p w14:paraId="2ADB31CA" w14:textId="09C789CE"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11342C">
        <w:rPr>
          <w:rFonts w:ascii="Times New Roman" w:hAnsi="Times New Roman" w:cs="Times New Roman"/>
          <w:sz w:val="24"/>
          <w:szCs w:val="24"/>
        </w:rPr>
        <w:t>0</w:t>
      </w:r>
    </w:p>
    <w:p w14:paraId="304CF600" w14:textId="42C31207"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278E9">
        <w:rPr>
          <w:rFonts w:ascii="Times New Roman" w:hAnsi="Times New Roman" w:cs="Times New Roman"/>
          <w:sz w:val="24"/>
          <w:szCs w:val="24"/>
        </w:rPr>
        <w:t>5</w:t>
      </w:r>
      <w:r w:rsidR="0011342C">
        <w:rPr>
          <w:rFonts w:ascii="Times New Roman" w:hAnsi="Times New Roman" w:cs="Times New Roman"/>
          <w:sz w:val="24"/>
          <w:szCs w:val="24"/>
        </w:rPr>
        <w:t>7</w:t>
      </w:r>
      <w:r w:rsidR="00DC11C6">
        <w:rPr>
          <w:rFonts w:ascii="Times New Roman" w:hAnsi="Times New Roman" w:cs="Times New Roman"/>
          <w:sz w:val="24"/>
          <w:szCs w:val="24"/>
        </w:rPr>
        <w:t xml:space="preserve">, </w:t>
      </w:r>
      <w:r w:rsidR="0011342C">
        <w:rPr>
          <w:rFonts w:ascii="Times New Roman" w:hAnsi="Times New Roman" w:cs="Times New Roman"/>
          <w:sz w:val="24"/>
          <w:szCs w:val="24"/>
        </w:rPr>
        <w:t>9</w:t>
      </w:r>
      <w:r w:rsidR="00DC11C6">
        <w:rPr>
          <w:rFonts w:ascii="Times New Roman" w:hAnsi="Times New Roman" w:cs="Times New Roman"/>
          <w:sz w:val="24"/>
          <w:szCs w:val="24"/>
        </w:rPr>
        <w:t>0, 10</w:t>
      </w:r>
      <w:r w:rsidR="0011342C">
        <w:rPr>
          <w:rFonts w:ascii="Times New Roman" w:hAnsi="Times New Roman" w:cs="Times New Roman"/>
          <w:sz w:val="24"/>
          <w:szCs w:val="24"/>
        </w:rPr>
        <w:t>0</w:t>
      </w:r>
      <w:r w:rsidR="00DC11C6">
        <w:rPr>
          <w:rFonts w:ascii="Times New Roman" w:hAnsi="Times New Roman" w:cs="Times New Roman"/>
          <w:sz w:val="24"/>
          <w:szCs w:val="24"/>
        </w:rPr>
        <w:t>%</w:t>
      </w:r>
      <w:r w:rsidR="0014209D">
        <w:rPr>
          <w:rFonts w:ascii="Times New Roman" w:hAnsi="Times New Roman" w:cs="Times New Roman"/>
          <w:sz w:val="24"/>
          <w:szCs w:val="24"/>
        </w:rPr>
        <w:t xml:space="preserve">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535CE" w14:textId="77777777" w:rsidR="00770F93" w:rsidRDefault="00770F93" w:rsidP="00AD23B5">
      <w:r>
        <w:separator/>
      </w:r>
    </w:p>
  </w:endnote>
  <w:endnote w:type="continuationSeparator" w:id="0">
    <w:p w14:paraId="356F4B51" w14:textId="77777777" w:rsidR="00770F93" w:rsidRDefault="00770F93"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A649" w14:textId="77777777" w:rsidR="00770F93" w:rsidRDefault="00770F93" w:rsidP="00AD23B5">
      <w:r>
        <w:separator/>
      </w:r>
    </w:p>
  </w:footnote>
  <w:footnote w:type="continuationSeparator" w:id="0">
    <w:p w14:paraId="6E02BBB3" w14:textId="77777777" w:rsidR="00770F93" w:rsidRDefault="00770F93"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2720F"/>
    <w:rsid w:val="0003063C"/>
    <w:rsid w:val="00051227"/>
    <w:rsid w:val="00075BD4"/>
    <w:rsid w:val="00076DE6"/>
    <w:rsid w:val="00092C85"/>
    <w:rsid w:val="000B0F65"/>
    <w:rsid w:val="000D3292"/>
    <w:rsid w:val="0011342C"/>
    <w:rsid w:val="001278E9"/>
    <w:rsid w:val="00140F84"/>
    <w:rsid w:val="0014209D"/>
    <w:rsid w:val="001546F6"/>
    <w:rsid w:val="00160CD3"/>
    <w:rsid w:val="0016505C"/>
    <w:rsid w:val="001A2DC3"/>
    <w:rsid w:val="001A4DAA"/>
    <w:rsid w:val="001D2C9D"/>
    <w:rsid w:val="001E7D02"/>
    <w:rsid w:val="001F60F4"/>
    <w:rsid w:val="002131D3"/>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6799A"/>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E1617"/>
    <w:rsid w:val="004F57F2"/>
    <w:rsid w:val="00533190"/>
    <w:rsid w:val="005449C7"/>
    <w:rsid w:val="00562626"/>
    <w:rsid w:val="00580AC3"/>
    <w:rsid w:val="005D3EE3"/>
    <w:rsid w:val="005E4469"/>
    <w:rsid w:val="005F4C0A"/>
    <w:rsid w:val="005F5DD5"/>
    <w:rsid w:val="00606865"/>
    <w:rsid w:val="00627405"/>
    <w:rsid w:val="006426AA"/>
    <w:rsid w:val="006439DB"/>
    <w:rsid w:val="006826D2"/>
    <w:rsid w:val="00683FE6"/>
    <w:rsid w:val="006E0F8E"/>
    <w:rsid w:val="006F0523"/>
    <w:rsid w:val="00702E44"/>
    <w:rsid w:val="0075643D"/>
    <w:rsid w:val="00760FAC"/>
    <w:rsid w:val="00770F93"/>
    <w:rsid w:val="007A4E1A"/>
    <w:rsid w:val="007B103F"/>
    <w:rsid w:val="007E4431"/>
    <w:rsid w:val="008006C1"/>
    <w:rsid w:val="00814C2D"/>
    <w:rsid w:val="0081626E"/>
    <w:rsid w:val="00817ECE"/>
    <w:rsid w:val="00871224"/>
    <w:rsid w:val="008927F0"/>
    <w:rsid w:val="008C1F35"/>
    <w:rsid w:val="008C53A4"/>
    <w:rsid w:val="008D36D2"/>
    <w:rsid w:val="008E62B6"/>
    <w:rsid w:val="009016B9"/>
    <w:rsid w:val="00906A1C"/>
    <w:rsid w:val="0092293C"/>
    <w:rsid w:val="00924183"/>
    <w:rsid w:val="00936C5C"/>
    <w:rsid w:val="009A4391"/>
    <w:rsid w:val="009D5246"/>
    <w:rsid w:val="009E1AE2"/>
    <w:rsid w:val="00A04C22"/>
    <w:rsid w:val="00A24D0D"/>
    <w:rsid w:val="00A375CC"/>
    <w:rsid w:val="00A43C38"/>
    <w:rsid w:val="00A45BA7"/>
    <w:rsid w:val="00A468AA"/>
    <w:rsid w:val="00A65FD7"/>
    <w:rsid w:val="00A730FC"/>
    <w:rsid w:val="00A73E9B"/>
    <w:rsid w:val="00A77C26"/>
    <w:rsid w:val="00A77F7B"/>
    <w:rsid w:val="00A81617"/>
    <w:rsid w:val="00AA16C6"/>
    <w:rsid w:val="00AA5D8B"/>
    <w:rsid w:val="00AB091B"/>
    <w:rsid w:val="00AD23B5"/>
    <w:rsid w:val="00B013E6"/>
    <w:rsid w:val="00B16118"/>
    <w:rsid w:val="00B21C77"/>
    <w:rsid w:val="00B26E3A"/>
    <w:rsid w:val="00B321AB"/>
    <w:rsid w:val="00B35319"/>
    <w:rsid w:val="00B51AEE"/>
    <w:rsid w:val="00B74FC8"/>
    <w:rsid w:val="00B90454"/>
    <w:rsid w:val="00B967EA"/>
    <w:rsid w:val="00BB296E"/>
    <w:rsid w:val="00BF3666"/>
    <w:rsid w:val="00BF6434"/>
    <w:rsid w:val="00C03E66"/>
    <w:rsid w:val="00C14CC4"/>
    <w:rsid w:val="00C41285"/>
    <w:rsid w:val="00C801F0"/>
    <w:rsid w:val="00CA4B5B"/>
    <w:rsid w:val="00CC37CA"/>
    <w:rsid w:val="00CE2729"/>
    <w:rsid w:val="00D307EE"/>
    <w:rsid w:val="00D42199"/>
    <w:rsid w:val="00D861C0"/>
    <w:rsid w:val="00D939F9"/>
    <w:rsid w:val="00DB2CA4"/>
    <w:rsid w:val="00DC11C6"/>
    <w:rsid w:val="00DC7180"/>
    <w:rsid w:val="00DF74A3"/>
    <w:rsid w:val="00E02586"/>
    <w:rsid w:val="00E11D75"/>
    <w:rsid w:val="00E1783C"/>
    <w:rsid w:val="00E33F9A"/>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2026-06-05T23:31:00Z</dcterms:created>
  <dcterms:modified xsi:type="dcterms:W3CDTF">2026-06-05T23:31:00Z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