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18FA7C88" w:rsidR="00356568" w:rsidRPr="001F60F4" w:rsidRDefault="00B25864"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63390873"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4384C">
        <w:rPr>
          <w:rFonts w:ascii="Times New Roman" w:eastAsia="Times New Roman" w:hAnsi="Times New Roman" w:cs="Times New Roman"/>
          <w:sz w:val="24"/>
          <w:szCs w:val="24"/>
        </w:rPr>
        <w:t>CB Manager</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14384C">
        <w:rPr>
          <w:rFonts w:ascii="Times New Roman" w:eastAsia="Times New Roman" w:hAnsi="Times New Roman" w:cs="Times New Roman"/>
          <w:sz w:val="24"/>
          <w:szCs w:val="24"/>
        </w:rPr>
        <w:t>9, 10, 36, 40, 44, 45, and 48</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65342A75" w:rsidR="00A468AA" w:rsidRPr="001F60F4" w:rsidRDefault="0014384C" w:rsidP="00A375CC">
      <w:pPr>
        <w:rPr>
          <w:rFonts w:ascii="Times New Roman" w:hAnsi="Times New Roman" w:cs="Times New Roman"/>
          <w:b/>
          <w:sz w:val="24"/>
          <w:szCs w:val="24"/>
          <w:u w:val="single"/>
        </w:rPr>
      </w:pPr>
      <w:r>
        <w:rPr>
          <w:rFonts w:ascii="Times New Roman" w:hAnsi="Times New Roman" w:cs="Times New Roman"/>
          <w:b/>
          <w:sz w:val="24"/>
          <w:szCs w:val="24"/>
          <w:u w:val="single"/>
        </w:rPr>
        <w:t>CB Manager</w:t>
      </w:r>
    </w:p>
    <w:p w14:paraId="4C3539ED" w14:textId="50F1BC54" w:rsidR="001278E9" w:rsidRDefault="008D36D2" w:rsidP="008D36D2">
      <w:pPr>
        <w:pStyle w:val="MediumGrid1-Accent21"/>
        <w:ind w:left="0"/>
      </w:pPr>
      <w:r w:rsidRPr="008D36D2">
        <w:rPr>
          <w:b/>
          <w:bCs/>
        </w:rPr>
        <w:t>Type of Exemption Requested:</w:t>
      </w:r>
      <w:r>
        <w:t xml:space="preserve"> </w:t>
      </w:r>
      <w:r w:rsidR="0014384C">
        <w:t>Partial</w:t>
      </w:r>
      <w:r w:rsidR="001278E9">
        <w:t xml:space="preserve"> Article </w:t>
      </w:r>
      <w:r w:rsidR="00B21C77">
        <w:t>XI</w:t>
      </w:r>
      <w:r w:rsidR="001278E9">
        <w:t xml:space="preserve"> Exemption</w:t>
      </w:r>
    </w:p>
    <w:p w14:paraId="548B9A80" w14:textId="77777777" w:rsidR="001278E9" w:rsidRDefault="001278E9" w:rsidP="008D36D2">
      <w:pPr>
        <w:pStyle w:val="MediumGrid1-Accent21"/>
        <w:ind w:left="0"/>
      </w:pPr>
    </w:p>
    <w:p w14:paraId="13C7C002" w14:textId="77777777" w:rsidR="0014384C" w:rsidRDefault="0014384C" w:rsidP="0014384C">
      <w:pPr>
        <w:pStyle w:val="MediumGrid1-Accent21"/>
        <w:ind w:left="0"/>
      </w:pPr>
      <w:bookmarkStart w:id="0" w:name="_Hlk224234847"/>
      <w:r>
        <w:t xml:space="preserve">CB Manager.HPO.FY26 (the “Project”) consists of 27 buildings ranging from three to five stories, constructed between 1899 and 1954, located across Northern Manhattan and Brooklyn. The properties were acquired by CB Manager LLC (“Sponsor”) between 2013 and 2023. The Brooklyn sites are geographically scattered and located in Flatbush, Crown Heights, Gravesend, and Flatlands. The Manhattan properties are located in Washington Heights and Sugar Hill. The Sponsor currently self-manages the properties.  At closing, HP Cedarbridge Housing Development Fund Company, Inc. (“HDFC”) will be formed and will enter into a nominee agreement with the current owners and the title will be transferred to the HDFC. </w:t>
      </w:r>
    </w:p>
    <w:p w14:paraId="711DC97E" w14:textId="77777777" w:rsidR="0014384C" w:rsidRDefault="0014384C" w:rsidP="0014384C">
      <w:pPr>
        <w:pStyle w:val="MediumGrid1-Accent21"/>
      </w:pPr>
    </w:p>
    <w:p w14:paraId="1EC7CC87" w14:textId="77777777" w:rsidR="0014384C" w:rsidRDefault="0014384C" w:rsidP="0014384C">
      <w:pPr>
        <w:pStyle w:val="MediumGrid1-Accent21"/>
        <w:ind w:left="0"/>
      </w:pPr>
      <w:r>
        <w:t xml:space="preserve">The portfolio consists of 1,088 residential units, including five superintendent units and three commercial spaces. These commercial units are located at 161 Utica Avenue, 711 Nostrand Avenue, and 4300 Broadway.spaces and the commercial spaces will not be included in the exemption area. Two of the properties also contain leased parking spaces used for commercial purposes. The Sponsor will provide tenants with a right of first refusal for the parking spaces.  and the parking will be covered under the Article XI exemption. The residential unit mix includes 79 studios, 350 one-bedrooms, 507 two-bedrooms, 131 three-bedrooms, and 21 four-bedrooms. There are currently no vacant units. </w:t>
      </w:r>
    </w:p>
    <w:p w14:paraId="71FE244B" w14:textId="77777777" w:rsidR="0014384C" w:rsidRDefault="0014384C" w:rsidP="0014384C">
      <w:pPr>
        <w:pStyle w:val="MediumGrid1-Accent21"/>
      </w:pPr>
    </w:p>
    <w:p w14:paraId="3DC33580" w14:textId="57BC8C03" w:rsidR="0014384C" w:rsidRDefault="0014384C" w:rsidP="0014384C">
      <w:pPr>
        <w:pStyle w:val="MediumGrid1-Accent21"/>
        <w:ind w:left="0"/>
      </w:pPr>
      <w:r>
        <w:t xml:space="preserve">The market residential rents for the Manhattan buildings average 85.53% AMI, and for Brooklyn, 78.48% AMI. There are currently 59 market unit and 1024 rent stabilized units in the project. Current rents average approximately $1,809 unit per month, or 58.11% AMI, with legal </w:t>
      </w:r>
      <w:r>
        <w:lastRenderedPageBreak/>
        <w:t>rents averaging approximately 58.62% AMI. After closing, vacant units will be set at the lesser of the existing legal rent or 40% AMI.</w:t>
      </w:r>
    </w:p>
    <w:p w14:paraId="04E84AD7" w14:textId="77777777" w:rsidR="0014384C" w:rsidRDefault="0014384C" w:rsidP="0014384C">
      <w:pPr>
        <w:pStyle w:val="MediumGrid1-Accent21"/>
      </w:pPr>
    </w:p>
    <w:p w14:paraId="5E8BDDB0" w14:textId="77777777" w:rsidR="0014384C" w:rsidRDefault="0014384C" w:rsidP="0014384C">
      <w:pPr>
        <w:pStyle w:val="MediumGrid1-Accent21"/>
        <w:ind w:left="0"/>
      </w:pPr>
      <w:r>
        <w:t>The Project scope will focus on the most critical IPNA-identified repairs, including boiler replacement and energy-efficiency upgrades, unit kitchen and bathroom improvements, common area and exterior repairs, moisture/leak remediation, and Aging-in-Place items..</w:t>
      </w:r>
    </w:p>
    <w:p w14:paraId="36C4A2FF" w14:textId="77777777" w:rsidR="0014384C" w:rsidRDefault="0014384C" w:rsidP="0014384C">
      <w:pPr>
        <w:pStyle w:val="MediumGrid1-Accent21"/>
      </w:pPr>
    </w:p>
    <w:p w14:paraId="20064793" w14:textId="30ADE65B" w:rsidR="00CA4B5B" w:rsidRPr="00CA4B5B" w:rsidRDefault="0014384C" w:rsidP="0014384C">
      <w:pPr>
        <w:pStyle w:val="MediumGrid1-Accent21"/>
        <w:ind w:left="0"/>
      </w:pPr>
      <w:r>
        <w:t>As a condition for providing a partial 40-year Article XI tax exemption, HPD will require a 40-year regulatory agreement that restricts rents and income tiers. This agreement will include a 15% homeless set-aside (164 units) and participation in HPD’s AIP initiative upon turnover of the unit. Initially vacant units will be used for homeless placements. This Project will have an annual 0.5% Gross Rent Tax. The59 market units that will become rent-stabilized after closing. All units, other than the five superintendent units, will be income and rent restricted as part of the closing.</w:t>
      </w:r>
      <w:r w:rsidR="00CA4B5B" w:rsidRPr="00CA4B5B">
        <w:t xml:space="preserve"> </w:t>
      </w:r>
      <w:bookmarkEnd w:id="0"/>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34BEA7BC"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4384C">
        <w:rPr>
          <w:rFonts w:ascii="Times New Roman" w:hAnsi="Times New Roman" w:cs="Times New Roman"/>
          <w:sz w:val="24"/>
          <w:szCs w:val="24"/>
        </w:rPr>
        <w:t>Manhattan, Brooklyn</w:t>
      </w:r>
    </w:p>
    <w:p w14:paraId="5BCE735B" w14:textId="5E36A1BF" w:rsidR="00CA4B5B" w:rsidRDefault="0014384C" w:rsidP="00606865">
      <w:pPr>
        <w:pStyle w:val="ListParagraph"/>
        <w:numPr>
          <w:ilvl w:val="0"/>
          <w:numId w:val="1"/>
        </w:numPr>
        <w:rPr>
          <w:rFonts w:ascii="Times New Roman" w:hAnsi="Times New Roman" w:cs="Times New Roman"/>
          <w:sz w:val="24"/>
          <w:szCs w:val="24"/>
        </w:rPr>
      </w:pPr>
      <w:r w:rsidRPr="0014384C">
        <w:rPr>
          <w:rFonts w:ascii="Times New Roman" w:hAnsi="Times New Roman" w:cs="Times New Roman"/>
          <w:sz w:val="24"/>
          <w:szCs w:val="24"/>
        </w:rPr>
        <w:t>Block 2054, Lot 35; Block 2164, 38; Block 2177, Lot 8 and 39; Block 1241, Lot; Manhattan; Block 1241, Lot 1; Block 1243, Lot 21; Block 1361, Lot 1; Block 5062, Lot 43; Block 5063, Lot 1; Block 5086, Lot 22; Block 5086, Lot 22; Lot 5122, Lots 10 and 35; Block 5124, Lots 12, 18, and 45; Block 5136, Lot 39; Block 5160, Lot 21; Block 5162, Lot 22 and 62; Block 5184, Lots 22 and 62; Block 5184, Lot 31; Block 5211, Lot 39; Block 6694, Lot 1; Block 6700, Lot 12; Block 6703, Lot 35; Block 6712, Lot 86; Block 7112, Lot 1; Block 7577, Lot 25; Brooklyn</w:t>
      </w:r>
    </w:p>
    <w:p w14:paraId="76645B9F" w14:textId="64010D4C"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bookmarkStart w:id="1" w:name="_Hlk224220736"/>
      <w:r w:rsidR="0014384C" w:rsidRPr="0014384C">
        <w:rPr>
          <w:rFonts w:ascii="Times New Roman" w:hAnsi="Times New Roman" w:cs="Times New Roman"/>
          <w:sz w:val="24"/>
          <w:szCs w:val="24"/>
        </w:rPr>
        <w:t>Yusef Salaam, Carmen De La Rosa, Chi Ossé, Rita Joseph, Simcha Felder, Farah N. Louis, and Inna Vernikov</w:t>
      </w:r>
      <w:bookmarkEnd w:id="1"/>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3B119601"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14384C">
        <w:rPr>
          <w:rFonts w:ascii="Times New Roman" w:hAnsi="Times New Roman" w:cs="Times New Roman"/>
          <w:sz w:val="24"/>
          <w:szCs w:val="24"/>
        </w:rPr>
        <w:t>27</w:t>
      </w:r>
    </w:p>
    <w:p w14:paraId="437D6B5F" w14:textId="021EBDB4"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14384C">
        <w:rPr>
          <w:rFonts w:ascii="Times New Roman" w:hAnsi="Times New Roman" w:cs="Times New Roman"/>
          <w:sz w:val="24"/>
          <w:szCs w:val="24"/>
        </w:rPr>
        <w:t>1,088</w:t>
      </w:r>
      <w:r w:rsidR="00AA16C6">
        <w:rPr>
          <w:rFonts w:ascii="Times New Roman" w:hAnsi="Times New Roman" w:cs="Times New Roman"/>
          <w:sz w:val="24"/>
          <w:szCs w:val="24"/>
        </w:rPr>
        <w:t xml:space="preserve"> residential</w:t>
      </w:r>
    </w:p>
    <w:p w14:paraId="3D8CF2BB" w14:textId="7EC778D1" w:rsidR="00606865"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14384C">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14384C">
        <w:rPr>
          <w:rFonts w:ascii="Times New Roman" w:hAnsi="Times New Roman" w:cs="Times New Roman"/>
          <w:sz w:val="24"/>
          <w:szCs w:val="24"/>
        </w:rPr>
        <w:t>40</w:t>
      </w:r>
      <w:r w:rsidR="00CA4B5B">
        <w:rPr>
          <w:rFonts w:ascii="Times New Roman" w:hAnsi="Times New Roman" w:cs="Times New Roman"/>
          <w:sz w:val="24"/>
          <w:szCs w:val="24"/>
        </w:rPr>
        <w:t xml:space="preserve"> years</w:t>
      </w:r>
      <w:r w:rsidR="00CA4B5B">
        <w:rPr>
          <w:rFonts w:ascii="Times New Roman" w:hAnsi="Times New Roman" w:cs="Times New Roman"/>
          <w:sz w:val="24"/>
          <w:szCs w:val="24"/>
        </w:rPr>
        <w:br/>
      </w:r>
    </w:p>
    <w:p w14:paraId="70C0F5B7" w14:textId="77E396EF" w:rsidR="00CA4B5B" w:rsidRDefault="00CA4B5B" w:rsidP="0014384C">
      <w:pPr>
        <w:rPr>
          <w:rFonts w:ascii="Times New Roman" w:hAnsi="Times New Roman" w:cs="Times New Roman"/>
          <w:sz w:val="24"/>
          <w:szCs w:val="24"/>
        </w:rPr>
      </w:pPr>
      <w:r w:rsidRPr="00CA4B5B">
        <w:rPr>
          <w:rFonts w:ascii="Times New Roman" w:hAnsi="Times New Roman" w:cs="Times New Roman"/>
          <w:sz w:val="24"/>
          <w:szCs w:val="24"/>
        </w:rPr>
        <w:t>*</w:t>
      </w:r>
      <w:r w:rsidR="0014384C" w:rsidRPr="0014384C">
        <w:rPr>
          <w:rFonts w:ascii="Times New Roman" w:hAnsi="Times New Roman" w:cs="Times New Roman"/>
          <w:sz w:val="24"/>
          <w:szCs w:val="24"/>
        </w:rPr>
        <w:t xml:space="preserve">The Sponsor will work to clear all violations upon closing of the Article XI exemption, and HPD will require that the Sponsor determines a remediation plan for addressing the violations at the Article XI closing.  </w:t>
      </w:r>
    </w:p>
    <w:p w14:paraId="3ABC5698" w14:textId="77777777" w:rsidR="00CA4B5B" w:rsidRPr="00CA4B5B" w:rsidRDefault="00CA4B5B" w:rsidP="00CA4B5B">
      <w:pPr>
        <w:rPr>
          <w:rFonts w:ascii="Times New Roman" w:hAnsi="Times New Roman" w:cs="Times New Roman"/>
          <w:sz w:val="24"/>
          <w:szCs w:val="24"/>
        </w:rPr>
      </w:pP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2821788"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4384C" w:rsidRPr="0014384C">
        <w:rPr>
          <w:rFonts w:ascii="Times New Roman" w:hAnsi="Times New Roman" w:cs="Times New Roman"/>
          <w:sz w:val="24"/>
          <w:szCs w:val="24"/>
        </w:rPr>
        <w:t>CB Manager LLC</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0C05D2C2"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C62BA3">
        <w:rPr>
          <w:rFonts w:ascii="Times New Roman" w:hAnsi="Times New Roman" w:cs="Times New Roman"/>
          <w:sz w:val="24"/>
          <w:szCs w:val="24"/>
        </w:rPr>
        <w:t>359,330,300</w:t>
      </w:r>
      <w:r w:rsidR="00CA4B5B">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433228EC"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14384C">
        <w:rPr>
          <w:rFonts w:ascii="Times New Roman" w:hAnsi="Times New Roman" w:cs="Times New Roman"/>
          <w:sz w:val="24"/>
          <w:szCs w:val="24"/>
        </w:rPr>
        <w:t>176</w:t>
      </w:r>
    </w:p>
    <w:p w14:paraId="32519BFE" w14:textId="297A1B7A"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14384C">
        <w:rPr>
          <w:rFonts w:ascii="Times New Roman" w:hAnsi="Times New Roman" w:cs="Times New Roman"/>
          <w:sz w:val="24"/>
          <w:szCs w:val="24"/>
        </w:rPr>
        <w:t>477</w:t>
      </w:r>
    </w:p>
    <w:p w14:paraId="2ADB31CA" w14:textId="1680FCF4"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4384C">
        <w:rPr>
          <w:rFonts w:ascii="Times New Roman" w:hAnsi="Times New Roman" w:cs="Times New Roman"/>
          <w:sz w:val="24"/>
          <w:szCs w:val="24"/>
        </w:rPr>
        <w:t>375</w:t>
      </w:r>
    </w:p>
    <w:p w14:paraId="0EDDBB90" w14:textId="77777777"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Violations are expected to be cleared through rehabilitation of the project post HPD closing. </w:t>
      </w:r>
    </w:p>
    <w:p w14:paraId="0FB94D18" w14:textId="77777777" w:rsidR="00CA4B5B" w:rsidRPr="00CA4B5B" w:rsidRDefault="00CA4B5B" w:rsidP="00CA4B5B">
      <w:pPr>
        <w:rPr>
          <w:rFonts w:ascii="Times New Roman" w:hAnsi="Times New Roman" w:cs="Times New Roman"/>
          <w:sz w:val="24"/>
          <w:szCs w:val="24"/>
        </w:rPr>
      </w:pPr>
    </w:p>
    <w:p w14:paraId="304CF600" w14:textId="494AD587"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4384C">
        <w:rPr>
          <w:rFonts w:ascii="Times New Roman" w:hAnsi="Times New Roman" w:cs="Times New Roman"/>
          <w:sz w:val="24"/>
          <w:szCs w:val="24"/>
        </w:rPr>
        <w:t>50, 60, 75, 100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F0275" w14:textId="77777777" w:rsidR="00EB030D" w:rsidRDefault="00EB030D" w:rsidP="00AD23B5">
      <w:r>
        <w:separator/>
      </w:r>
    </w:p>
  </w:endnote>
  <w:endnote w:type="continuationSeparator" w:id="0">
    <w:p w14:paraId="46B30B71" w14:textId="77777777" w:rsidR="00EB030D" w:rsidRDefault="00EB030D"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D2A94" w14:textId="77777777" w:rsidR="00EB030D" w:rsidRDefault="00EB030D" w:rsidP="00AD23B5">
      <w:r>
        <w:separator/>
      </w:r>
    </w:p>
  </w:footnote>
  <w:footnote w:type="continuationSeparator" w:id="0">
    <w:p w14:paraId="5C9BFADD" w14:textId="77777777" w:rsidR="00EB030D" w:rsidRDefault="00EB030D"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4384C"/>
    <w:rsid w:val="001546F6"/>
    <w:rsid w:val="00160CD3"/>
    <w:rsid w:val="0016505C"/>
    <w:rsid w:val="001A2DC3"/>
    <w:rsid w:val="001A4DAA"/>
    <w:rsid w:val="001D2C9D"/>
    <w:rsid w:val="001E7D02"/>
    <w:rsid w:val="001F60F4"/>
    <w:rsid w:val="002244F4"/>
    <w:rsid w:val="00234E1A"/>
    <w:rsid w:val="00241E0F"/>
    <w:rsid w:val="00243912"/>
    <w:rsid w:val="00252DE1"/>
    <w:rsid w:val="002578D2"/>
    <w:rsid w:val="00264194"/>
    <w:rsid w:val="002B1EA7"/>
    <w:rsid w:val="00303D45"/>
    <w:rsid w:val="003261F2"/>
    <w:rsid w:val="00337B4E"/>
    <w:rsid w:val="00354EBF"/>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D4509"/>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C1ABC"/>
    <w:rsid w:val="007E4431"/>
    <w:rsid w:val="008006C1"/>
    <w:rsid w:val="00814C2D"/>
    <w:rsid w:val="0081626E"/>
    <w:rsid w:val="00817ECE"/>
    <w:rsid w:val="00871224"/>
    <w:rsid w:val="008927F0"/>
    <w:rsid w:val="008C1F35"/>
    <w:rsid w:val="008C53A4"/>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5864"/>
    <w:rsid w:val="00B26E3A"/>
    <w:rsid w:val="00B321AB"/>
    <w:rsid w:val="00B51AEE"/>
    <w:rsid w:val="00B74FC8"/>
    <w:rsid w:val="00B90454"/>
    <w:rsid w:val="00B967EA"/>
    <w:rsid w:val="00BB296E"/>
    <w:rsid w:val="00BD0AD5"/>
    <w:rsid w:val="00BF3666"/>
    <w:rsid w:val="00BF6434"/>
    <w:rsid w:val="00C41285"/>
    <w:rsid w:val="00C62BA3"/>
    <w:rsid w:val="00C801F0"/>
    <w:rsid w:val="00CA4B5B"/>
    <w:rsid w:val="00CC37CA"/>
    <w:rsid w:val="00CE2729"/>
    <w:rsid w:val="00D307EE"/>
    <w:rsid w:val="00D42199"/>
    <w:rsid w:val="00D939F9"/>
    <w:rsid w:val="00DB2CA4"/>
    <w:rsid w:val="00DC7180"/>
    <w:rsid w:val="00DF74A3"/>
    <w:rsid w:val="00E02586"/>
    <w:rsid w:val="00E11D75"/>
    <w:rsid w:val="00E1783C"/>
    <w:rsid w:val="00E33F9A"/>
    <w:rsid w:val="00EB030D"/>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2026-06-05T22:59:00Z</dcterms:created>
  <dcterms:modified xsi:type="dcterms:W3CDTF">2026-06-05T22:59:00Z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