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18FA7C88" w:rsidR="00356568" w:rsidRPr="001F60F4" w:rsidRDefault="00B25864"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1AB6C846"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7E3631">
        <w:rPr>
          <w:rFonts w:ascii="Times New Roman" w:eastAsia="Times New Roman" w:hAnsi="Times New Roman" w:cs="Times New Roman"/>
          <w:sz w:val="24"/>
          <w:szCs w:val="24"/>
        </w:rPr>
        <w:t>HP CSP Third Street</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3F324C">
        <w:rPr>
          <w:rFonts w:ascii="Times New Roman" w:eastAsia="Times New Roman" w:hAnsi="Times New Roman" w:cs="Times New Roman"/>
          <w:sz w:val="24"/>
          <w:szCs w:val="24"/>
        </w:rPr>
        <w:t>10</w:t>
      </w:r>
      <w:r w:rsidR="007E3631">
        <w:rPr>
          <w:rFonts w:ascii="Times New Roman" w:eastAsia="Times New Roman" w:hAnsi="Times New Roman" w:cs="Times New Roman"/>
          <w:sz w:val="24"/>
          <w:szCs w:val="24"/>
        </w:rPr>
        <w:t>, 11, 14, 15, 16, 17, and 18</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65496FC9" w:rsidR="00A468AA" w:rsidRPr="001F60F4" w:rsidRDefault="007E3631" w:rsidP="00A375CC">
      <w:pPr>
        <w:rPr>
          <w:rFonts w:ascii="Times New Roman" w:hAnsi="Times New Roman" w:cs="Times New Roman"/>
          <w:b/>
          <w:sz w:val="24"/>
          <w:szCs w:val="24"/>
          <w:u w:val="single"/>
        </w:rPr>
      </w:pPr>
      <w:r>
        <w:rPr>
          <w:rFonts w:ascii="Times New Roman" w:hAnsi="Times New Roman" w:cs="Times New Roman"/>
          <w:b/>
          <w:sz w:val="24"/>
          <w:szCs w:val="24"/>
          <w:u w:val="single"/>
        </w:rPr>
        <w:t>HP CSP</w:t>
      </w:r>
    </w:p>
    <w:p w14:paraId="0ADF703C" w14:textId="77777777" w:rsidR="007E3631" w:rsidRDefault="008D36D2" w:rsidP="007E3631">
      <w:pPr>
        <w:pStyle w:val="MediumGrid1-Accent21"/>
        <w:ind w:left="0"/>
      </w:pPr>
      <w:r w:rsidRPr="008D36D2">
        <w:rPr>
          <w:b/>
          <w:bCs/>
        </w:rPr>
        <w:t>Type of Exemption Requested:</w:t>
      </w:r>
      <w:r>
        <w:t xml:space="preserve"> </w:t>
      </w:r>
      <w:r w:rsidR="0014384C">
        <w:t>Partial</w:t>
      </w:r>
      <w:r w:rsidR="001278E9">
        <w:t xml:space="preserve"> Article </w:t>
      </w:r>
      <w:r w:rsidR="00B21C77">
        <w:t>XI</w:t>
      </w:r>
      <w:r w:rsidR="001278E9">
        <w:t xml:space="preserve"> Exemption</w:t>
      </w:r>
      <w:bookmarkStart w:id="0" w:name="_Hlk196733274"/>
    </w:p>
    <w:p w14:paraId="3BDE8F43" w14:textId="77777777" w:rsidR="007E3631" w:rsidRDefault="007E3631" w:rsidP="007E3631">
      <w:pPr>
        <w:pStyle w:val="MediumGrid1-Accent21"/>
        <w:ind w:left="0"/>
      </w:pPr>
    </w:p>
    <w:p w14:paraId="15FB3E5B" w14:textId="38E171FB" w:rsidR="007E3631" w:rsidRPr="007E3631" w:rsidRDefault="007E3631" w:rsidP="007E3631">
      <w:pPr>
        <w:pStyle w:val="MediumGrid1-Accent21"/>
        <w:ind w:left="0"/>
      </w:pPr>
      <w:r w:rsidRPr="007E3631">
        <w:rPr>
          <w:iCs/>
        </w:rPr>
        <w:t xml:space="preserve">HP CSP Third Street.HPO.FY26 (the “Project”) consists of 652 apartments and eight retail storefronts across 19 multifamily residential buildings located in Manhattan and the Bronx. The residential apartments have a wide range of bedroom types with 36 studios, 385 one-bedrooms, 173 two-bedrooms (six of which are for the superintendents), 51 three-bedrooms, six four-bedrooms, and one five-bedroom. There are six superintendents, and in total 20 full-time property maintenance staff assigned to the properties. Currently, there are 610 rent-stabilized apartments whilst the remaining 36 non-super units are market-rate. There are also 58 vacant apartments and of those, four are market-rate with the remaining 54 being rent-stabilized.  Additionally, the average AMI of the actual rents in this portfolio is 53.08%, whereas the average AMI of the legal rents is 59.22%. The weighted average rent of the Project’s affordability AMI tiers is 59.70% and the market rent </w:t>
      </w:r>
      <w:proofErr w:type="gramStart"/>
      <w:r w:rsidRPr="007E3631">
        <w:rPr>
          <w:iCs/>
        </w:rPr>
        <w:t>weighted</w:t>
      </w:r>
      <w:proofErr w:type="gramEnd"/>
      <w:r w:rsidRPr="007E3631">
        <w:rPr>
          <w:iCs/>
        </w:rPr>
        <w:t xml:space="preserve"> average AMI is 76%.  </w:t>
      </w:r>
    </w:p>
    <w:p w14:paraId="6293F290" w14:textId="77777777" w:rsidR="007E3631" w:rsidRPr="007E3631" w:rsidRDefault="007E3631" w:rsidP="007E3631">
      <w:pPr>
        <w:pStyle w:val="MediumGrid1-Accent21"/>
        <w:ind w:left="0"/>
        <w:rPr>
          <w:iCs/>
        </w:rPr>
      </w:pPr>
    </w:p>
    <w:p w14:paraId="60CD5F6B" w14:textId="77777777" w:rsidR="007E3631" w:rsidRPr="007E3631" w:rsidRDefault="007E3631" w:rsidP="007E3631">
      <w:pPr>
        <w:pStyle w:val="MediumGrid1-Accent21"/>
        <w:ind w:left="0"/>
        <w:rPr>
          <w:iCs/>
        </w:rPr>
      </w:pPr>
      <w:r w:rsidRPr="007E3631">
        <w:rPr>
          <w:iCs/>
        </w:rPr>
        <w:t xml:space="preserve">Prana Investments, LLC (“Sponsor”) is the parent company of the current owners. The properties are managed by JLP Metro Management LLC and Triboro York Management LLC. The Sponsor acquired this cluster through a handful of private transactions. The first of these properties were purchased in December 2016 and the most recent acquisition was in March 2022.  </w:t>
      </w:r>
    </w:p>
    <w:p w14:paraId="41D2754C" w14:textId="77777777" w:rsidR="007E3631" w:rsidRPr="007E3631" w:rsidRDefault="007E3631" w:rsidP="007E3631">
      <w:pPr>
        <w:pStyle w:val="MediumGrid1-Accent21"/>
        <w:ind w:left="0"/>
        <w:rPr>
          <w:iCs/>
        </w:rPr>
      </w:pPr>
    </w:p>
    <w:p w14:paraId="41EAADE4" w14:textId="77777777" w:rsidR="007E3631" w:rsidRPr="007E3631" w:rsidRDefault="007E3631" w:rsidP="007E3631">
      <w:pPr>
        <w:pStyle w:val="MediumGrid1-Accent21"/>
        <w:ind w:left="0"/>
        <w:rPr>
          <w:iCs/>
        </w:rPr>
      </w:pPr>
      <w:r w:rsidRPr="007E3631">
        <w:rPr>
          <w:iCs/>
        </w:rPr>
        <w:t xml:space="preserve">The Project is seeking a partial 40-year Article XI tax exemption with an annual Gross Rent Tax (“GRT”) of 5.0% through the HPO Program. The GRT will not be reduced by the J-51 abatement. The exemption was sized in accordance with Method 1 of the HPO term-sheet. The tax exemption is sized to preserve the existing affordability across the property and to maintain long-term operational viability, and address identified capital repair needs throughout the </w:t>
      </w:r>
      <w:r w:rsidRPr="007E3631">
        <w:rPr>
          <w:iCs/>
        </w:rPr>
        <w:lastRenderedPageBreak/>
        <w:t xml:space="preserve">portfolio. As part of the Regulatory Agreement, the Sponsor will be required to complete critical and short-term work identified in the Integrated Physical Needs Assessment (“IPNA”) post-closing within an agreed upon timeframe with HPD. This work includes electrical wiring and breakers, gas pipping, piping insulation, heat system and boiler upgrades, piping ventilation, and electrical and lighting system upgrades, repairing elevator maintenance deficiencies, weatherizing and air sealing exterior doors and windows. The goals of the Project are to close on a 40-year Article XI property tax exemption that will take effect upon the execution of the HPD Regulatory Agreement. The Regulatory Agreement will set rent restrictions at 40%-95% AMI and income restrictions at 50%-120% AMI. All units will be required to be </w:t>
      </w:r>
      <w:proofErr w:type="gramStart"/>
      <w:r w:rsidRPr="007E3631">
        <w:rPr>
          <w:iCs/>
        </w:rPr>
        <w:t>rent stabilized</w:t>
      </w:r>
      <w:proofErr w:type="gramEnd"/>
      <w:r w:rsidRPr="007E3631">
        <w:rPr>
          <w:iCs/>
        </w:rPr>
        <w:t xml:space="preserve"> and rent/income restricted for the term of the regulatory agreement.  Additionally, the Project will require a minimum 15% homeless referral set aside (98 units). </w:t>
      </w:r>
    </w:p>
    <w:bookmarkEnd w:id="0"/>
    <w:p w14:paraId="024145AE" w14:textId="5ABEAF2F" w:rsidR="00606865" w:rsidRPr="007E3631" w:rsidRDefault="00DF74A3" w:rsidP="001278E9">
      <w:pPr>
        <w:pStyle w:val="MediumGrid1-Accent21"/>
        <w:ind w:left="0"/>
      </w:pPr>
      <w:r>
        <w:rPr>
          <w:rFonts w:eastAsia="Arial"/>
          <w:u w:val="single"/>
        </w:rPr>
        <w:br/>
      </w:r>
      <w:r w:rsidR="00606865" w:rsidRPr="007E4431">
        <w:rPr>
          <w:u w:val="single"/>
        </w:rPr>
        <w:t xml:space="preserve">Summary: </w:t>
      </w:r>
    </w:p>
    <w:p w14:paraId="1D1AD631" w14:textId="11B42AEC"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4384C">
        <w:rPr>
          <w:rFonts w:ascii="Times New Roman" w:hAnsi="Times New Roman" w:cs="Times New Roman"/>
          <w:sz w:val="24"/>
          <w:szCs w:val="24"/>
        </w:rPr>
        <w:t>Manhattan</w:t>
      </w:r>
      <w:r w:rsidR="007E3631">
        <w:rPr>
          <w:rFonts w:ascii="Times New Roman" w:hAnsi="Times New Roman" w:cs="Times New Roman"/>
          <w:sz w:val="24"/>
          <w:szCs w:val="24"/>
        </w:rPr>
        <w:t>, Bronx</w:t>
      </w:r>
    </w:p>
    <w:p w14:paraId="3ECFF0EA" w14:textId="73AB61CF" w:rsidR="007E3631" w:rsidRPr="007E3631" w:rsidRDefault="007E3631" w:rsidP="007E3631">
      <w:pPr>
        <w:pStyle w:val="ListParagraph"/>
        <w:numPr>
          <w:ilvl w:val="0"/>
          <w:numId w:val="1"/>
        </w:numPr>
        <w:rPr>
          <w:rFonts w:ascii="Times New Roman" w:hAnsi="Times New Roman" w:cs="Times New Roman"/>
          <w:sz w:val="24"/>
          <w:szCs w:val="24"/>
        </w:rPr>
      </w:pPr>
      <w:r w:rsidRPr="007E3631">
        <w:rPr>
          <w:rFonts w:ascii="Times New Roman" w:hAnsi="Times New Roman" w:cs="Times New Roman"/>
          <w:sz w:val="24"/>
          <w:szCs w:val="24"/>
        </w:rPr>
        <w:t>Block 2174, Lot 154, Block 2175, Lot 202, Block, Manhattan; Block 2426, Lot 54, Block 3074 Lot 50, Block 3219, Lot 91, Block 3221 Lots 78 and 84, Block 3225, Lot 72, 103, and 173, Block 3333, Lot 9, Block 3738, Lot 10, Block 3812, Lot 1, Block 3899, Lots 25, 37, and 55, Block 3926, Lots 24 and 31, Block 4845, Lot 31, Bronx</w:t>
      </w:r>
    </w:p>
    <w:p w14:paraId="031BE8AA" w14:textId="4A5A1454" w:rsidR="00606865" w:rsidRPr="007E3631" w:rsidRDefault="00606865" w:rsidP="0007128F">
      <w:pPr>
        <w:pStyle w:val="ListParagraph"/>
        <w:numPr>
          <w:ilvl w:val="0"/>
          <w:numId w:val="1"/>
        </w:numPr>
        <w:rPr>
          <w:rFonts w:ascii="Times New Roman" w:hAnsi="Times New Roman" w:cs="Times New Roman"/>
          <w:sz w:val="24"/>
          <w:szCs w:val="24"/>
        </w:rPr>
      </w:pPr>
      <w:r w:rsidRPr="007E3631">
        <w:rPr>
          <w:rFonts w:ascii="Times New Roman" w:hAnsi="Times New Roman" w:cs="Times New Roman"/>
          <w:sz w:val="24"/>
          <w:szCs w:val="24"/>
        </w:rPr>
        <w:t xml:space="preserve">Council </w:t>
      </w:r>
      <w:r w:rsidR="00A43C38" w:rsidRPr="007E3631">
        <w:rPr>
          <w:rFonts w:ascii="Times New Roman" w:hAnsi="Times New Roman" w:cs="Times New Roman"/>
          <w:sz w:val="24"/>
          <w:szCs w:val="24"/>
        </w:rPr>
        <w:t>Members'</w:t>
      </w:r>
      <w:r w:rsidRPr="007E3631">
        <w:rPr>
          <w:rFonts w:ascii="Times New Roman" w:hAnsi="Times New Roman" w:cs="Times New Roman"/>
          <w:sz w:val="24"/>
          <w:szCs w:val="24"/>
        </w:rPr>
        <w:t xml:space="preserve"> approval –Yes</w:t>
      </w:r>
    </w:p>
    <w:p w14:paraId="60B965A6" w14:textId="00A27415"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3F324C">
        <w:rPr>
          <w:rFonts w:ascii="Times New Roman" w:hAnsi="Times New Roman" w:cs="Times New Roman"/>
          <w:sz w:val="24"/>
          <w:szCs w:val="24"/>
        </w:rPr>
        <w:t>1</w:t>
      </w:r>
      <w:r w:rsidR="007E3631">
        <w:rPr>
          <w:rFonts w:ascii="Times New Roman" w:hAnsi="Times New Roman" w:cs="Times New Roman"/>
          <w:sz w:val="24"/>
          <w:szCs w:val="24"/>
        </w:rPr>
        <w:t>9</w:t>
      </w:r>
    </w:p>
    <w:p w14:paraId="437D6B5F" w14:textId="419DB51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7E3631">
        <w:rPr>
          <w:rFonts w:ascii="Times New Roman" w:hAnsi="Times New Roman" w:cs="Times New Roman"/>
          <w:sz w:val="24"/>
          <w:szCs w:val="24"/>
        </w:rPr>
        <w:t>652</w:t>
      </w:r>
      <w:r w:rsidR="00AA16C6">
        <w:rPr>
          <w:rFonts w:ascii="Times New Roman" w:hAnsi="Times New Roman" w:cs="Times New Roman"/>
          <w:sz w:val="24"/>
          <w:szCs w:val="24"/>
        </w:rPr>
        <w:t xml:space="preserve"> residential</w:t>
      </w:r>
      <w:r w:rsidR="003F324C">
        <w:rPr>
          <w:rFonts w:ascii="Times New Roman" w:hAnsi="Times New Roman" w:cs="Times New Roman"/>
          <w:sz w:val="24"/>
          <w:szCs w:val="24"/>
        </w:rPr>
        <w:t xml:space="preserve"> and </w:t>
      </w:r>
      <w:r w:rsidR="007E3631">
        <w:rPr>
          <w:rFonts w:ascii="Times New Roman" w:hAnsi="Times New Roman" w:cs="Times New Roman"/>
          <w:sz w:val="24"/>
          <w:szCs w:val="24"/>
        </w:rPr>
        <w:t>8 retail store fronts</w:t>
      </w:r>
    </w:p>
    <w:p w14:paraId="3D8CF2BB" w14:textId="7EC778D1" w:rsidR="00606865"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14384C">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14384C">
        <w:rPr>
          <w:rFonts w:ascii="Times New Roman" w:hAnsi="Times New Roman" w:cs="Times New Roman"/>
          <w:sz w:val="24"/>
          <w:szCs w:val="24"/>
        </w:rPr>
        <w:t>40</w:t>
      </w:r>
      <w:r w:rsidR="00CA4B5B">
        <w:rPr>
          <w:rFonts w:ascii="Times New Roman" w:hAnsi="Times New Roman" w:cs="Times New Roman"/>
          <w:sz w:val="24"/>
          <w:szCs w:val="24"/>
        </w:rPr>
        <w:t xml:space="preserve"> years</w:t>
      </w:r>
      <w:r w:rsidR="00CA4B5B">
        <w:rPr>
          <w:rFonts w:ascii="Times New Roman" w:hAnsi="Times New Roman" w:cs="Times New Roman"/>
          <w:sz w:val="24"/>
          <w:szCs w:val="24"/>
        </w:rPr>
        <w:br/>
      </w:r>
    </w:p>
    <w:p w14:paraId="70C0F5B7" w14:textId="77E396EF" w:rsidR="00CA4B5B" w:rsidRDefault="00CA4B5B" w:rsidP="0014384C">
      <w:pPr>
        <w:rPr>
          <w:rFonts w:ascii="Times New Roman" w:hAnsi="Times New Roman" w:cs="Times New Roman"/>
          <w:sz w:val="24"/>
          <w:szCs w:val="24"/>
        </w:rPr>
      </w:pPr>
      <w:r w:rsidRPr="00CA4B5B">
        <w:rPr>
          <w:rFonts w:ascii="Times New Roman" w:hAnsi="Times New Roman" w:cs="Times New Roman"/>
          <w:sz w:val="24"/>
          <w:szCs w:val="24"/>
        </w:rPr>
        <w:t>*</w:t>
      </w:r>
      <w:r w:rsidR="0014384C" w:rsidRPr="0014384C">
        <w:rPr>
          <w:rFonts w:ascii="Times New Roman" w:hAnsi="Times New Roman" w:cs="Times New Roman"/>
          <w:sz w:val="24"/>
          <w:szCs w:val="24"/>
        </w:rPr>
        <w:t xml:space="preserve">The Sponsor will work to clear all violations upon closing of the Article XI exemption, and HPD will require that the Sponsor determines a remediation plan for addressing the violations at the Article XI closing.  </w:t>
      </w:r>
    </w:p>
    <w:p w14:paraId="3ABC5698" w14:textId="77777777" w:rsidR="00CA4B5B" w:rsidRPr="00CA4B5B" w:rsidRDefault="00CA4B5B" w:rsidP="00CA4B5B">
      <w:pPr>
        <w:rPr>
          <w:rFonts w:ascii="Times New Roman" w:hAnsi="Times New Roman" w:cs="Times New Roman"/>
          <w:sz w:val="24"/>
          <w:szCs w:val="24"/>
        </w:rPr>
      </w:pP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74F26225"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7E3631">
        <w:rPr>
          <w:rFonts w:ascii="Times New Roman" w:hAnsi="Times New Roman" w:cs="Times New Roman"/>
          <w:sz w:val="24"/>
          <w:szCs w:val="24"/>
        </w:rPr>
        <w:t>Prana</w:t>
      </w:r>
      <w:r w:rsidR="003F324C">
        <w:rPr>
          <w:rFonts w:ascii="Times New Roman" w:hAnsi="Times New Roman" w:cs="Times New Roman"/>
          <w:sz w:val="24"/>
          <w:szCs w:val="24"/>
        </w:rPr>
        <w:t xml:space="preserve"> Investments</w:t>
      </w:r>
      <w:r w:rsidR="007E3631">
        <w:rPr>
          <w:rFonts w:ascii="Times New Roman" w:hAnsi="Times New Roman" w:cs="Times New Roman"/>
          <w:sz w:val="24"/>
          <w:szCs w:val="24"/>
        </w:rPr>
        <w:t>, Inc.</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320CDA44"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3F324C">
        <w:rPr>
          <w:rFonts w:ascii="Times New Roman" w:hAnsi="Times New Roman" w:cs="Times New Roman"/>
          <w:sz w:val="24"/>
          <w:szCs w:val="24"/>
        </w:rPr>
        <w:t>1</w:t>
      </w:r>
      <w:r w:rsidR="007E3631">
        <w:rPr>
          <w:rFonts w:ascii="Times New Roman" w:hAnsi="Times New Roman" w:cs="Times New Roman"/>
          <w:sz w:val="24"/>
          <w:szCs w:val="24"/>
        </w:rPr>
        <w:t>45</w:t>
      </w:r>
      <w:r w:rsidR="00C62BA3">
        <w:rPr>
          <w:rFonts w:ascii="Times New Roman" w:hAnsi="Times New Roman" w:cs="Times New Roman"/>
          <w:sz w:val="24"/>
          <w:szCs w:val="24"/>
        </w:rPr>
        <w:t>,</w:t>
      </w:r>
      <w:r w:rsidR="007E3631">
        <w:rPr>
          <w:rFonts w:ascii="Times New Roman" w:hAnsi="Times New Roman" w:cs="Times New Roman"/>
          <w:sz w:val="24"/>
          <w:szCs w:val="24"/>
        </w:rPr>
        <w:t>643</w:t>
      </w:r>
      <w:r w:rsidR="00C62BA3">
        <w:rPr>
          <w:rFonts w:ascii="Times New Roman" w:hAnsi="Times New Roman" w:cs="Times New Roman"/>
          <w:sz w:val="24"/>
          <w:szCs w:val="24"/>
        </w:rPr>
        <w:t>,</w:t>
      </w:r>
      <w:r w:rsidR="003F324C">
        <w:rPr>
          <w:rFonts w:ascii="Times New Roman" w:hAnsi="Times New Roman" w:cs="Times New Roman"/>
          <w:sz w:val="24"/>
          <w:szCs w:val="24"/>
        </w:rPr>
        <w:t>0</w:t>
      </w:r>
      <w:r w:rsidR="007E3631">
        <w:rPr>
          <w:rFonts w:ascii="Times New Roman" w:hAnsi="Times New Roman" w:cs="Times New Roman"/>
          <w:sz w:val="24"/>
          <w:szCs w:val="24"/>
        </w:rPr>
        <w:t>59</w:t>
      </w:r>
      <w:r w:rsidR="00CA4B5B">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829B473"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7E3631">
        <w:rPr>
          <w:rFonts w:ascii="Times New Roman" w:hAnsi="Times New Roman" w:cs="Times New Roman"/>
          <w:sz w:val="24"/>
          <w:szCs w:val="24"/>
        </w:rPr>
        <w:t>95</w:t>
      </w:r>
    </w:p>
    <w:p w14:paraId="32519BFE" w14:textId="465AB5FD"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7E3631">
        <w:rPr>
          <w:rFonts w:ascii="Times New Roman" w:hAnsi="Times New Roman" w:cs="Times New Roman"/>
          <w:sz w:val="24"/>
          <w:szCs w:val="24"/>
        </w:rPr>
        <w:t>260</w:t>
      </w:r>
    </w:p>
    <w:p w14:paraId="2ADB31CA" w14:textId="3C1B4D6B"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7E3631">
        <w:rPr>
          <w:rFonts w:ascii="Times New Roman" w:hAnsi="Times New Roman" w:cs="Times New Roman"/>
          <w:sz w:val="24"/>
          <w:szCs w:val="24"/>
        </w:rPr>
        <w:t>152</w:t>
      </w:r>
    </w:p>
    <w:p w14:paraId="0EDDBB90" w14:textId="47CB0AC1" w:rsidR="00CA4B5B" w:rsidRDefault="003F324C" w:rsidP="00CA4B5B">
      <w:pPr>
        <w:rPr>
          <w:rFonts w:ascii="Times New Roman" w:hAnsi="Times New Roman" w:cs="Times New Roman"/>
          <w:sz w:val="24"/>
          <w:szCs w:val="24"/>
        </w:rPr>
      </w:pPr>
      <w:r w:rsidRPr="003F324C">
        <w:rPr>
          <w:rFonts w:ascii="Times New Roman" w:hAnsi="Times New Roman" w:cs="Times New Roman"/>
          <w:sz w:val="24"/>
          <w:szCs w:val="24"/>
        </w:rPr>
        <w:t>The Sponsor will work to clear all violations upon closing of the Article XI exemption, HPD will require that the Sponsor determine a remediation plan for addressing the violations at the Article XI closing</w:t>
      </w:r>
      <w:r w:rsidR="00CA4B5B" w:rsidRPr="00CA4B5B">
        <w:rPr>
          <w:rFonts w:ascii="Times New Roman" w:hAnsi="Times New Roman" w:cs="Times New Roman"/>
          <w:sz w:val="24"/>
          <w:szCs w:val="24"/>
        </w:rPr>
        <w:t xml:space="preserve">. </w:t>
      </w:r>
    </w:p>
    <w:p w14:paraId="0FB94D18" w14:textId="77777777" w:rsidR="00CA4B5B" w:rsidRPr="00CA4B5B" w:rsidRDefault="00CA4B5B" w:rsidP="00CA4B5B">
      <w:pPr>
        <w:rPr>
          <w:rFonts w:ascii="Times New Roman" w:hAnsi="Times New Roman" w:cs="Times New Roman"/>
          <w:sz w:val="24"/>
          <w:szCs w:val="24"/>
        </w:rPr>
      </w:pPr>
    </w:p>
    <w:p w14:paraId="304CF600" w14:textId="164946FB"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3F324C">
        <w:rPr>
          <w:rFonts w:ascii="Times New Roman" w:hAnsi="Times New Roman" w:cs="Times New Roman"/>
          <w:sz w:val="24"/>
          <w:szCs w:val="24"/>
        </w:rPr>
        <w:t>45</w:t>
      </w:r>
      <w:r w:rsidR="0014384C">
        <w:rPr>
          <w:rFonts w:ascii="Times New Roman" w:hAnsi="Times New Roman" w:cs="Times New Roman"/>
          <w:sz w:val="24"/>
          <w:szCs w:val="24"/>
        </w:rPr>
        <w:t xml:space="preserve">, </w:t>
      </w:r>
      <w:r w:rsidR="003F324C">
        <w:rPr>
          <w:rFonts w:ascii="Times New Roman" w:hAnsi="Times New Roman" w:cs="Times New Roman"/>
          <w:sz w:val="24"/>
          <w:szCs w:val="24"/>
        </w:rPr>
        <w:t>5</w:t>
      </w:r>
      <w:r w:rsidR="007E3631">
        <w:rPr>
          <w:rFonts w:ascii="Times New Roman" w:hAnsi="Times New Roman" w:cs="Times New Roman"/>
          <w:sz w:val="24"/>
          <w:szCs w:val="24"/>
        </w:rPr>
        <w:t>5</w:t>
      </w:r>
      <w:r w:rsidR="0014384C">
        <w:rPr>
          <w:rFonts w:ascii="Times New Roman" w:hAnsi="Times New Roman" w:cs="Times New Roman"/>
          <w:sz w:val="24"/>
          <w:szCs w:val="24"/>
        </w:rPr>
        <w:t xml:space="preserve">, </w:t>
      </w:r>
      <w:r w:rsidR="003F324C">
        <w:rPr>
          <w:rFonts w:ascii="Times New Roman" w:hAnsi="Times New Roman" w:cs="Times New Roman"/>
          <w:sz w:val="24"/>
          <w:szCs w:val="24"/>
        </w:rPr>
        <w:t>6</w:t>
      </w:r>
      <w:r w:rsidR="007E3631">
        <w:rPr>
          <w:rFonts w:ascii="Times New Roman" w:hAnsi="Times New Roman" w:cs="Times New Roman"/>
          <w:sz w:val="24"/>
          <w:szCs w:val="24"/>
        </w:rPr>
        <w:t>5</w:t>
      </w:r>
      <w:r w:rsidR="0014384C">
        <w:rPr>
          <w:rFonts w:ascii="Times New Roman" w:hAnsi="Times New Roman" w:cs="Times New Roman"/>
          <w:sz w:val="24"/>
          <w:szCs w:val="24"/>
        </w:rPr>
        <w:t>,</w:t>
      </w:r>
      <w:r w:rsidR="003F324C">
        <w:rPr>
          <w:rFonts w:ascii="Times New Roman" w:hAnsi="Times New Roman" w:cs="Times New Roman"/>
          <w:sz w:val="24"/>
          <w:szCs w:val="24"/>
        </w:rPr>
        <w:t xml:space="preserve"> 7</w:t>
      </w:r>
      <w:r w:rsidR="007E3631">
        <w:rPr>
          <w:rFonts w:ascii="Times New Roman" w:hAnsi="Times New Roman" w:cs="Times New Roman"/>
          <w:sz w:val="24"/>
          <w:szCs w:val="24"/>
        </w:rPr>
        <w:t>5</w:t>
      </w:r>
      <w:r w:rsidR="003F324C">
        <w:rPr>
          <w:rFonts w:ascii="Times New Roman" w:hAnsi="Times New Roman" w:cs="Times New Roman"/>
          <w:sz w:val="24"/>
          <w:szCs w:val="24"/>
        </w:rPr>
        <w:t>, 95</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4101" w14:textId="77777777" w:rsidR="00C12D90" w:rsidRDefault="00C12D90" w:rsidP="00AD23B5">
      <w:r>
        <w:separator/>
      </w:r>
    </w:p>
  </w:endnote>
  <w:endnote w:type="continuationSeparator" w:id="0">
    <w:p w14:paraId="5AA936C1" w14:textId="77777777" w:rsidR="00C12D90" w:rsidRDefault="00C12D90"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EB54" w14:textId="77777777" w:rsidR="00C12D90" w:rsidRDefault="00C12D90" w:rsidP="00AD23B5">
      <w:r>
        <w:separator/>
      </w:r>
    </w:p>
  </w:footnote>
  <w:footnote w:type="continuationSeparator" w:id="0">
    <w:p w14:paraId="2F44E5DD" w14:textId="77777777" w:rsidR="00C12D90" w:rsidRDefault="00C12D90"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343"/>
    <w:multiLevelType w:val="hybridMultilevel"/>
    <w:tmpl w:val="8654D51C"/>
    <w:lvl w:ilvl="0" w:tplc="128ABBC8">
      <w:start w:val="1"/>
      <w:numFmt w:val="decimal"/>
      <w:lvlText w:val="%1."/>
      <w:lvlJc w:val="left"/>
      <w:pPr>
        <w:ind w:left="571" w:hanging="361"/>
      </w:pPr>
      <w:rPr>
        <w:color w:val="000000" w:themeColor="text1"/>
        <w:spacing w:val="-1"/>
        <w:w w:val="100"/>
      </w:rPr>
    </w:lvl>
    <w:lvl w:ilvl="1" w:tplc="04090001">
      <w:start w:val="1"/>
      <w:numFmt w:val="bullet"/>
      <w:lvlText w:val=""/>
      <w:lvlJc w:val="left"/>
      <w:pPr>
        <w:ind w:left="1200" w:hanging="360"/>
      </w:pPr>
      <w:rPr>
        <w:rFonts w:ascii="Symbol" w:hAnsi="Symbol" w:hint="default"/>
        <w:spacing w:val="-1"/>
        <w:w w:val="100"/>
        <w:sz w:val="22"/>
        <w:szCs w:val="22"/>
      </w:rPr>
    </w:lvl>
    <w:lvl w:ilvl="2" w:tplc="5492FC34">
      <w:start w:val="1"/>
      <w:numFmt w:val="bullet"/>
      <w:lvlText w:val="•"/>
      <w:lvlJc w:val="left"/>
      <w:pPr>
        <w:ind w:left="1357" w:hanging="360"/>
      </w:pPr>
    </w:lvl>
    <w:lvl w:ilvl="3" w:tplc="F6FA7B24">
      <w:start w:val="1"/>
      <w:numFmt w:val="bullet"/>
      <w:lvlText w:val="•"/>
      <w:lvlJc w:val="left"/>
      <w:pPr>
        <w:ind w:left="1515" w:hanging="360"/>
      </w:pPr>
    </w:lvl>
    <w:lvl w:ilvl="4" w:tplc="8C44B07C">
      <w:start w:val="1"/>
      <w:numFmt w:val="bullet"/>
      <w:lvlText w:val="•"/>
      <w:lvlJc w:val="left"/>
      <w:pPr>
        <w:ind w:left="1673" w:hanging="360"/>
      </w:pPr>
    </w:lvl>
    <w:lvl w:ilvl="5" w:tplc="041E43B4">
      <w:start w:val="1"/>
      <w:numFmt w:val="bullet"/>
      <w:lvlText w:val="•"/>
      <w:lvlJc w:val="left"/>
      <w:pPr>
        <w:ind w:left="1831" w:hanging="360"/>
      </w:pPr>
    </w:lvl>
    <w:lvl w:ilvl="6" w:tplc="D0968342">
      <w:start w:val="1"/>
      <w:numFmt w:val="bullet"/>
      <w:lvlText w:val="•"/>
      <w:lvlJc w:val="left"/>
      <w:pPr>
        <w:ind w:left="1988" w:hanging="360"/>
      </w:pPr>
    </w:lvl>
    <w:lvl w:ilvl="7" w:tplc="19AC655A">
      <w:start w:val="1"/>
      <w:numFmt w:val="bullet"/>
      <w:lvlText w:val="•"/>
      <w:lvlJc w:val="left"/>
      <w:pPr>
        <w:ind w:left="2146" w:hanging="360"/>
      </w:pPr>
    </w:lvl>
    <w:lvl w:ilvl="8" w:tplc="887A3FDC">
      <w:start w:val="1"/>
      <w:numFmt w:val="bullet"/>
      <w:lvlText w:val="•"/>
      <w:lvlJc w:val="left"/>
      <w:pPr>
        <w:ind w:left="2304" w:hanging="360"/>
      </w:pPr>
    </w:lvl>
  </w:abstractNum>
  <w:abstractNum w:abstractNumId="1"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1"/>
  </w:num>
  <w:num w:numId="2" w16cid:durableId="467212327">
    <w:abstractNumId w:val="2"/>
  </w:num>
  <w:num w:numId="3" w16cid:durableId="151148649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124D"/>
    <w:rsid w:val="00075BD4"/>
    <w:rsid w:val="00092C85"/>
    <w:rsid w:val="000B0F65"/>
    <w:rsid w:val="000D3292"/>
    <w:rsid w:val="001278E9"/>
    <w:rsid w:val="00140F84"/>
    <w:rsid w:val="0014209D"/>
    <w:rsid w:val="0014384C"/>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2D3893"/>
    <w:rsid w:val="00303D45"/>
    <w:rsid w:val="003261F2"/>
    <w:rsid w:val="00337B4E"/>
    <w:rsid w:val="00354EBF"/>
    <w:rsid w:val="00355C28"/>
    <w:rsid w:val="00356568"/>
    <w:rsid w:val="00363AF4"/>
    <w:rsid w:val="0036638D"/>
    <w:rsid w:val="003A2620"/>
    <w:rsid w:val="003B406D"/>
    <w:rsid w:val="003F324C"/>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C1ABC"/>
    <w:rsid w:val="007E3631"/>
    <w:rsid w:val="007E4431"/>
    <w:rsid w:val="008006C1"/>
    <w:rsid w:val="00814C2D"/>
    <w:rsid w:val="0081626E"/>
    <w:rsid w:val="00817ECE"/>
    <w:rsid w:val="00871224"/>
    <w:rsid w:val="0087414F"/>
    <w:rsid w:val="008927F0"/>
    <w:rsid w:val="008C1F35"/>
    <w:rsid w:val="008C53A4"/>
    <w:rsid w:val="008D36D2"/>
    <w:rsid w:val="008E62B6"/>
    <w:rsid w:val="009016B9"/>
    <w:rsid w:val="00906A1C"/>
    <w:rsid w:val="0092293C"/>
    <w:rsid w:val="00924183"/>
    <w:rsid w:val="00946A15"/>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5864"/>
    <w:rsid w:val="00B26E3A"/>
    <w:rsid w:val="00B321AB"/>
    <w:rsid w:val="00B51AEE"/>
    <w:rsid w:val="00B74FC8"/>
    <w:rsid w:val="00B90454"/>
    <w:rsid w:val="00B967EA"/>
    <w:rsid w:val="00BB296E"/>
    <w:rsid w:val="00BF3666"/>
    <w:rsid w:val="00BF6434"/>
    <w:rsid w:val="00C12D90"/>
    <w:rsid w:val="00C41285"/>
    <w:rsid w:val="00C62BA3"/>
    <w:rsid w:val="00C801F0"/>
    <w:rsid w:val="00CA4B5B"/>
    <w:rsid w:val="00CC37CA"/>
    <w:rsid w:val="00CE2729"/>
    <w:rsid w:val="00D307EE"/>
    <w:rsid w:val="00D42199"/>
    <w:rsid w:val="00D70DE2"/>
    <w:rsid w:val="00D939F9"/>
    <w:rsid w:val="00DB2CA4"/>
    <w:rsid w:val="00DC7180"/>
    <w:rsid w:val="00DF74A3"/>
    <w:rsid w:val="00E02586"/>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2026-06-05T23:08:00Z</dcterms:created>
  <dcterms:modified xsi:type="dcterms:W3CDTF">2026-06-05T23:08:00Z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